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ABE" w:rsidRDefault="00E63D28" w:rsidP="0075183E">
      <w:pPr>
        <w:spacing w:after="0"/>
        <w:jc w:val="center"/>
        <w:rPr>
          <w:rFonts w:ascii="Verdana" w:hAnsi="Verdana"/>
          <w:b/>
          <w:sz w:val="21"/>
          <w:szCs w:val="21"/>
        </w:rPr>
      </w:pPr>
      <w:r>
        <w:rPr>
          <w:noProof/>
        </w:rPr>
        <mc:AlternateContent>
          <mc:Choice Requires="wps">
            <w:drawing>
              <wp:anchor distT="0" distB="0" distL="114300" distR="114300" simplePos="0" relativeHeight="251657216" behindDoc="0" locked="0" layoutInCell="1" allowOverlap="1">
                <wp:simplePos x="0" y="0"/>
                <wp:positionH relativeFrom="margin">
                  <wp:posOffset>22860</wp:posOffset>
                </wp:positionH>
                <wp:positionV relativeFrom="paragraph">
                  <wp:posOffset>-356870</wp:posOffset>
                </wp:positionV>
                <wp:extent cx="6324600" cy="1076325"/>
                <wp:effectExtent l="0" t="0" r="19050" b="28575"/>
                <wp:wrapNone/>
                <wp:docPr id="1"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076325"/>
                        </a:xfrm>
                        <a:prstGeom prst="rect">
                          <a:avLst/>
                        </a:prstGeom>
                        <a:solidFill>
                          <a:srgbClr val="365F91"/>
                        </a:solidFill>
                        <a:ln w="9525">
                          <a:solidFill>
                            <a:srgbClr val="000000"/>
                          </a:solidFill>
                          <a:miter lim="800000"/>
                          <a:headEnd/>
                          <a:tailEnd/>
                        </a:ln>
                      </wps:spPr>
                      <wps:txbx>
                        <w:txbxContent>
                          <w:p w:rsidR="00DD6A2F" w:rsidRDefault="00DD6A2F" w:rsidP="00E216CD">
                            <w:pPr>
                              <w:shd w:val="clear" w:color="auto" w:fill="0000FF"/>
                              <w:spacing w:after="0" w:line="240" w:lineRule="auto"/>
                              <w:rPr>
                                <w:rFonts w:ascii="Verdana" w:hAnsi="Verdana"/>
                                <w:b/>
                                <w:color w:val="FFFF00"/>
                                <w:sz w:val="16"/>
                                <w:szCs w:val="16"/>
                              </w:rPr>
                            </w:pPr>
                            <w:r>
                              <w:tab/>
                              <w:t xml:space="preserve">             </w:t>
                            </w:r>
                            <w:r>
                              <w:rPr>
                                <w:rFonts w:ascii="Verdana" w:hAnsi="Verdana"/>
                                <w:b/>
                                <w:color w:val="FFFF00"/>
                                <w:sz w:val="32"/>
                                <w:szCs w:val="24"/>
                              </w:rPr>
                              <w:t>Ufficio Studi</w:t>
                            </w:r>
                            <w:r>
                              <w:rPr>
                                <w:rFonts w:ascii="Verdana" w:hAnsi="Verdana"/>
                                <w:color w:val="FFFF00"/>
                                <w:sz w:val="44"/>
                                <w:szCs w:val="24"/>
                              </w:rPr>
                              <w:tab/>
                              <w:t xml:space="preserve">       </w:t>
                            </w:r>
                            <w:r>
                              <w:rPr>
                                <w:rFonts w:ascii="Verdana" w:hAnsi="Verdana"/>
                                <w:b/>
                                <w:color w:val="FFFF00"/>
                                <w:sz w:val="32"/>
                                <w:szCs w:val="32"/>
                              </w:rPr>
                              <w:t>News</w:t>
                            </w:r>
                            <w:r>
                              <w:rPr>
                                <w:rFonts w:ascii="Verdana" w:hAnsi="Verdana"/>
                                <w:color w:val="FFFF00"/>
                                <w:sz w:val="44"/>
                                <w:szCs w:val="24"/>
                              </w:rPr>
                              <w:t xml:space="preserve"> </w:t>
                            </w:r>
                            <w:r>
                              <w:rPr>
                                <w:rFonts w:ascii="Verdana" w:hAnsi="Verdana"/>
                                <w:b/>
                                <w:color w:val="FFFF00"/>
                                <w:sz w:val="32"/>
                                <w:szCs w:val="32"/>
                              </w:rPr>
                              <w:t>del 25 luglio 2026</w:t>
                            </w:r>
                          </w:p>
                          <w:p w:rsidR="00DD6A2F" w:rsidRDefault="00DD6A2F" w:rsidP="00E216CD">
                            <w:pPr>
                              <w:shd w:val="clear" w:color="auto" w:fill="0000FF"/>
                              <w:spacing w:after="0" w:line="240" w:lineRule="auto"/>
                              <w:rPr>
                                <w:rFonts w:ascii="Verdana" w:hAnsi="Verdana"/>
                                <w:b/>
                                <w:color w:val="FFFF00"/>
                                <w:sz w:val="28"/>
                                <w:szCs w:val="24"/>
                              </w:rPr>
                            </w:pPr>
                            <w:r>
                              <w:rPr>
                                <w:rFonts w:ascii="Verdana" w:hAnsi="Verdana"/>
                                <w:b/>
                                <w:color w:val="FFFF00"/>
                                <w:sz w:val="28"/>
                                <w:szCs w:val="24"/>
                              </w:rPr>
                              <w:t xml:space="preserve">             </w:t>
                            </w:r>
                            <w:r w:rsidRPr="00E216CD">
                              <w:rPr>
                                <w:rFonts w:cs="Calibri"/>
                                <w:noProof/>
                                <w:sz w:val="20"/>
                                <w:szCs w:val="20"/>
                                <w:lang w:eastAsia="it-IT"/>
                              </w:rPr>
                              <w:drawing>
                                <wp:inline distT="0" distB="0" distL="0" distR="0">
                                  <wp:extent cx="1571625" cy="409575"/>
                                  <wp:effectExtent l="0" t="0" r="0" b="0"/>
                                  <wp:docPr id="2" name="Immagine 4" descr="Logo lu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Logo lun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09575"/>
                                          </a:xfrm>
                                          <a:prstGeom prst="rect">
                                            <a:avLst/>
                                          </a:prstGeom>
                                          <a:noFill/>
                                          <a:ln>
                                            <a:noFill/>
                                          </a:ln>
                                        </pic:spPr>
                                      </pic:pic>
                                    </a:graphicData>
                                  </a:graphic>
                                </wp:inline>
                              </w:drawing>
                            </w:r>
                          </w:p>
                          <w:p w:rsidR="00DD6A2F" w:rsidRDefault="00DD6A2F" w:rsidP="00E216CD">
                            <w:pPr>
                              <w:shd w:val="clear" w:color="auto" w:fill="0000FF"/>
                              <w:spacing w:after="0" w:line="240" w:lineRule="auto"/>
                              <w:rPr>
                                <w:rFonts w:ascii="Verdana" w:hAnsi="Verdana"/>
                                <w:b/>
                                <w:color w:val="FFFF00"/>
                                <w:sz w:val="40"/>
                                <w:szCs w:val="40"/>
                              </w:rPr>
                            </w:pPr>
                          </w:p>
                          <w:p w:rsidR="00DD6A2F" w:rsidRDefault="00DD6A2F" w:rsidP="00E216CD">
                            <w:pPr>
                              <w:shd w:val="clear" w:color="auto" w:fill="0000FF"/>
                              <w:spacing w:after="0" w:line="240" w:lineRule="auto"/>
                              <w:rPr>
                                <w:rFonts w:ascii="Verdana" w:hAnsi="Verdana"/>
                                <w:b/>
                                <w:color w:val="FFFFF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6" type="#_x0000_t202" style="position:absolute;left:0;text-align:left;margin-left:1.8pt;margin-top:-28.1pt;width:498pt;height:84.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" fillcolor="#365f91">
                <v:textbox>
                  <w:txbxContent>
                    <w:p w:rsidR="00DD6A2F" w:rsidRDefault="00DD6A2F" w:rsidP="00E216CD">
                      <w:pPr>
                        <w:shd w:val="clear" w:color="auto" w:fill="0000FF"/>
                        <w:spacing w:after="0" w:line="240" w:lineRule="auto"/>
                        <w:rPr>
                          <w:rFonts w:ascii="Verdana" w:hAnsi="Verdana"/>
                          <w:b/>
                          <w:color w:val="FFFF00"/>
                          <w:sz w:val="16"/>
                          <w:szCs w:val="16"/>
                        </w:rPr>
                      </w:pPr>
                      <w:r>
                        <w:tab/>
                        <w:t xml:space="preserve">             </w:t>
                      </w:r>
                      <w:r>
                        <w:rPr>
                          <w:rFonts w:ascii="Verdana" w:hAnsi="Verdana"/>
                          <w:b/>
                          <w:color w:val="FFFF00"/>
                          <w:sz w:val="32"/>
                          <w:szCs w:val="24"/>
                        </w:rPr>
                        <w:t>Ufficio Studi</w:t>
                      </w:r>
                      <w:r>
                        <w:rPr>
                          <w:rFonts w:ascii="Verdana" w:hAnsi="Verdana"/>
                          <w:color w:val="FFFF00"/>
                          <w:sz w:val="44"/>
                          <w:szCs w:val="24"/>
                        </w:rPr>
                        <w:tab/>
                        <w:t xml:space="preserve">       </w:t>
                      </w:r>
                      <w:r>
                        <w:rPr>
                          <w:rFonts w:ascii="Verdana" w:hAnsi="Verdana"/>
                          <w:b/>
                          <w:color w:val="FFFF00"/>
                          <w:sz w:val="32"/>
                          <w:szCs w:val="32"/>
                        </w:rPr>
                        <w:t>News</w:t>
                      </w:r>
                      <w:r>
                        <w:rPr>
                          <w:rFonts w:ascii="Verdana" w:hAnsi="Verdana"/>
                          <w:color w:val="FFFF00"/>
                          <w:sz w:val="44"/>
                          <w:szCs w:val="24"/>
                        </w:rPr>
                        <w:t xml:space="preserve"> </w:t>
                      </w:r>
                      <w:r>
                        <w:rPr>
                          <w:rFonts w:ascii="Verdana" w:hAnsi="Verdana"/>
                          <w:b/>
                          <w:color w:val="FFFF00"/>
                          <w:sz w:val="32"/>
                          <w:szCs w:val="32"/>
                        </w:rPr>
                        <w:t>del 25 luglio 2026</w:t>
                      </w:r>
                    </w:p>
                    <w:p w:rsidR="00DD6A2F" w:rsidRDefault="00DD6A2F" w:rsidP="00E216CD">
                      <w:pPr>
                        <w:shd w:val="clear" w:color="auto" w:fill="0000FF"/>
                        <w:spacing w:after="0" w:line="240" w:lineRule="auto"/>
                        <w:rPr>
                          <w:rFonts w:ascii="Verdana" w:hAnsi="Verdana"/>
                          <w:b/>
                          <w:color w:val="FFFF00"/>
                          <w:sz w:val="28"/>
                          <w:szCs w:val="24"/>
                        </w:rPr>
                      </w:pPr>
                      <w:r>
                        <w:rPr>
                          <w:rFonts w:ascii="Verdana" w:hAnsi="Verdana"/>
                          <w:b/>
                          <w:color w:val="FFFF00"/>
                          <w:sz w:val="28"/>
                          <w:szCs w:val="24"/>
                        </w:rPr>
                        <w:t xml:space="preserve">             </w:t>
                      </w:r>
                      <w:r w:rsidRPr="00E216CD">
                        <w:rPr>
                          <w:rFonts w:cs="Calibri"/>
                          <w:noProof/>
                          <w:sz w:val="20"/>
                          <w:szCs w:val="20"/>
                          <w:lang w:eastAsia="it-IT"/>
                        </w:rPr>
                        <w:drawing>
                          <wp:inline distT="0" distB="0" distL="0" distR="0">
                            <wp:extent cx="1571625" cy="409575"/>
                            <wp:effectExtent l="0" t="0" r="0" b="0"/>
                            <wp:docPr id="2" name="Immagine 4" descr="Logo lu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Logo lun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09575"/>
                                    </a:xfrm>
                                    <a:prstGeom prst="rect">
                                      <a:avLst/>
                                    </a:prstGeom>
                                    <a:noFill/>
                                    <a:ln>
                                      <a:noFill/>
                                    </a:ln>
                                  </pic:spPr>
                                </pic:pic>
                              </a:graphicData>
                            </a:graphic>
                          </wp:inline>
                        </w:drawing>
                      </w:r>
                    </w:p>
                    <w:p w:rsidR="00DD6A2F" w:rsidRDefault="00DD6A2F" w:rsidP="00E216CD">
                      <w:pPr>
                        <w:shd w:val="clear" w:color="auto" w:fill="0000FF"/>
                        <w:spacing w:after="0" w:line="240" w:lineRule="auto"/>
                        <w:rPr>
                          <w:rFonts w:ascii="Verdana" w:hAnsi="Verdana"/>
                          <w:b/>
                          <w:color w:val="FFFF00"/>
                          <w:sz w:val="40"/>
                          <w:szCs w:val="40"/>
                        </w:rPr>
                      </w:pPr>
                    </w:p>
                    <w:p w:rsidR="00DD6A2F" w:rsidRDefault="00DD6A2F" w:rsidP="00E216CD">
                      <w:pPr>
                        <w:shd w:val="clear" w:color="auto" w:fill="0000FF"/>
                        <w:spacing w:after="0" w:line="240" w:lineRule="auto"/>
                        <w:rPr>
                          <w:rFonts w:ascii="Verdana" w:hAnsi="Verdana"/>
                          <w:b/>
                          <w:color w:val="FFFFFF"/>
                          <w:sz w:val="24"/>
                          <w:szCs w:val="24"/>
                        </w:rPr>
                      </w:pPr>
                    </w:p>
                  </w:txbxContent>
                </v:textbox>
                <w10:wrap anchorx="margin"/>
              </v:shape>
            </w:pict>
          </mc:Fallback>
        </mc:AlternateContent>
      </w:r>
    </w:p>
    <w:p w:rsidR="004F6ABE" w:rsidRDefault="004F6ABE" w:rsidP="0075183E">
      <w:pPr>
        <w:spacing w:after="0"/>
        <w:jc w:val="center"/>
        <w:rPr>
          <w:rFonts w:ascii="Verdana" w:hAnsi="Verdana"/>
          <w:b/>
          <w:sz w:val="21"/>
          <w:szCs w:val="21"/>
        </w:rPr>
      </w:pPr>
    </w:p>
    <w:p w:rsidR="004F6ABE" w:rsidRDefault="004F6ABE" w:rsidP="0075183E">
      <w:pPr>
        <w:spacing w:after="0"/>
        <w:jc w:val="center"/>
        <w:rPr>
          <w:rFonts w:ascii="Verdana" w:hAnsi="Verdana"/>
          <w:b/>
          <w:sz w:val="21"/>
          <w:szCs w:val="21"/>
        </w:rPr>
      </w:pPr>
    </w:p>
    <w:p w:rsidR="004F6ABE" w:rsidRDefault="004F6ABE" w:rsidP="0075183E">
      <w:pPr>
        <w:spacing w:after="0"/>
        <w:jc w:val="center"/>
        <w:rPr>
          <w:rFonts w:ascii="Verdana" w:hAnsi="Verdana"/>
          <w:b/>
          <w:sz w:val="21"/>
          <w:szCs w:val="21"/>
        </w:rPr>
      </w:pPr>
    </w:p>
    <w:p w:rsidR="00870285" w:rsidRDefault="00870285" w:rsidP="00E216CD">
      <w:pPr>
        <w:spacing w:after="0"/>
        <w:jc w:val="center"/>
        <w:rPr>
          <w:rFonts w:ascii="Verdana" w:hAnsi="Verdana"/>
          <w:b/>
          <w:sz w:val="16"/>
          <w:szCs w:val="16"/>
        </w:rPr>
      </w:pPr>
    </w:p>
    <w:p w:rsidR="009A0B5C" w:rsidRDefault="006478D4" w:rsidP="00E216CD">
      <w:pPr>
        <w:spacing w:after="0"/>
        <w:jc w:val="center"/>
        <w:rPr>
          <w:rFonts w:ascii="Verdana" w:hAnsi="Verdana"/>
          <w:b/>
          <w:sz w:val="36"/>
          <w:szCs w:val="36"/>
        </w:rPr>
      </w:pPr>
      <w:r>
        <w:rPr>
          <w:rFonts w:ascii="Verdana" w:hAnsi="Verdana"/>
          <w:b/>
          <w:sz w:val="36"/>
          <w:szCs w:val="36"/>
        </w:rPr>
        <w:t xml:space="preserve">CON LA </w:t>
      </w:r>
      <w:r w:rsidR="007B7E16">
        <w:rPr>
          <w:rFonts w:ascii="Verdana" w:hAnsi="Verdana"/>
          <w:b/>
          <w:sz w:val="36"/>
          <w:szCs w:val="36"/>
        </w:rPr>
        <w:t xml:space="preserve">GUERRA </w:t>
      </w:r>
      <w:r w:rsidR="007E1C4D">
        <w:rPr>
          <w:rFonts w:ascii="Verdana" w:hAnsi="Verdana"/>
          <w:b/>
          <w:sz w:val="36"/>
          <w:szCs w:val="36"/>
        </w:rPr>
        <w:t>DEL GOLFO</w:t>
      </w:r>
      <w:r w:rsidR="005D523E">
        <w:rPr>
          <w:rFonts w:ascii="Verdana" w:hAnsi="Verdana"/>
          <w:b/>
          <w:sz w:val="36"/>
          <w:szCs w:val="36"/>
        </w:rPr>
        <w:t xml:space="preserve"> </w:t>
      </w:r>
      <w:r w:rsidR="007E1C4D">
        <w:rPr>
          <w:rFonts w:ascii="Verdana" w:hAnsi="Verdana"/>
          <w:b/>
          <w:sz w:val="36"/>
          <w:szCs w:val="36"/>
        </w:rPr>
        <w:t xml:space="preserve">STANGATA </w:t>
      </w:r>
    </w:p>
    <w:p w:rsidR="00072973" w:rsidRPr="00672BED" w:rsidRDefault="007E1C4D" w:rsidP="00E216CD">
      <w:pPr>
        <w:spacing w:after="0"/>
        <w:jc w:val="center"/>
        <w:rPr>
          <w:rFonts w:ascii="Verdana" w:hAnsi="Verdana"/>
          <w:b/>
          <w:sz w:val="36"/>
          <w:szCs w:val="36"/>
        </w:rPr>
      </w:pPr>
      <w:bookmarkStart w:id="0" w:name="_GoBack"/>
      <w:bookmarkEnd w:id="0"/>
      <w:r>
        <w:rPr>
          <w:rFonts w:ascii="Verdana" w:hAnsi="Verdana"/>
          <w:b/>
          <w:sz w:val="36"/>
          <w:szCs w:val="36"/>
        </w:rPr>
        <w:t>DA 29 MILIARDI</w:t>
      </w:r>
    </w:p>
    <w:p w:rsidR="0042009D" w:rsidRDefault="0042009D" w:rsidP="00A958C3">
      <w:pPr>
        <w:pStyle w:val="NormaleWeb"/>
        <w:spacing w:line="360" w:lineRule="auto"/>
        <w:contextualSpacing/>
        <w:jc w:val="both"/>
        <w:rPr>
          <w:rFonts w:ascii="Verdana" w:hAnsi="Verdana"/>
          <w:sz w:val="28"/>
          <w:szCs w:val="28"/>
        </w:rPr>
      </w:pPr>
    </w:p>
    <w:p w:rsidR="00CF1C7F" w:rsidRDefault="00CF1C7F" w:rsidP="00A958C3">
      <w:pPr>
        <w:pStyle w:val="NormaleWeb"/>
        <w:spacing w:line="360" w:lineRule="auto"/>
        <w:contextualSpacing/>
        <w:jc w:val="both"/>
        <w:rPr>
          <w:rFonts w:ascii="Verdana" w:hAnsi="Verdana"/>
          <w:sz w:val="28"/>
          <w:szCs w:val="28"/>
        </w:rPr>
      </w:pPr>
      <w:r w:rsidRPr="00CF1C7F">
        <w:rPr>
          <w:rFonts w:ascii="Verdana" w:hAnsi="Verdana"/>
          <w:sz w:val="28"/>
          <w:szCs w:val="28"/>
        </w:rPr>
        <w:t>A cinque mesi dallo scoppio del</w:t>
      </w:r>
      <w:r w:rsidR="00814DDE">
        <w:rPr>
          <w:rFonts w:ascii="Verdana" w:hAnsi="Verdana"/>
          <w:sz w:val="28"/>
          <w:szCs w:val="28"/>
        </w:rPr>
        <w:t>la guerra nel Golfo</w:t>
      </w:r>
      <w:r w:rsidR="00CC0493">
        <w:rPr>
          <w:rFonts w:ascii="Verdana" w:hAnsi="Verdana"/>
          <w:sz w:val="28"/>
          <w:szCs w:val="28"/>
        </w:rPr>
        <w:t xml:space="preserve"> Persico</w:t>
      </w:r>
      <w:r w:rsidR="006511AD">
        <w:rPr>
          <w:rStyle w:val="Rimandonotaapidipagina"/>
          <w:rFonts w:ascii="Verdana" w:hAnsi="Verdana"/>
          <w:sz w:val="28"/>
          <w:szCs w:val="28"/>
        </w:rPr>
        <w:footnoteReference w:id="1"/>
      </w:r>
      <w:r w:rsidRPr="00CF1C7F">
        <w:rPr>
          <w:rFonts w:ascii="Verdana" w:hAnsi="Verdana"/>
          <w:sz w:val="28"/>
          <w:szCs w:val="28"/>
        </w:rPr>
        <w:t xml:space="preserve">, l'Ufficio studi della CGIA stima che nel 2026 </w:t>
      </w:r>
      <w:r w:rsidR="00525940">
        <w:rPr>
          <w:rFonts w:ascii="Verdana" w:hAnsi="Verdana"/>
          <w:sz w:val="28"/>
          <w:szCs w:val="28"/>
        </w:rPr>
        <w:t xml:space="preserve">le </w:t>
      </w:r>
      <w:r w:rsidRPr="00CF1C7F">
        <w:rPr>
          <w:rFonts w:ascii="Verdana" w:hAnsi="Verdana"/>
          <w:sz w:val="28"/>
          <w:szCs w:val="28"/>
        </w:rPr>
        <w:t xml:space="preserve">famiglie e </w:t>
      </w:r>
      <w:r w:rsidR="00525940">
        <w:rPr>
          <w:rFonts w:ascii="Verdana" w:hAnsi="Verdana"/>
          <w:sz w:val="28"/>
          <w:szCs w:val="28"/>
        </w:rPr>
        <w:t xml:space="preserve">le </w:t>
      </w:r>
      <w:r w:rsidRPr="00CF1C7F">
        <w:rPr>
          <w:rFonts w:ascii="Verdana" w:hAnsi="Verdana"/>
          <w:sz w:val="28"/>
          <w:szCs w:val="28"/>
        </w:rPr>
        <w:t>imprese italiane dovranno sostenere quasi 29 miliardi di euro di costi aggiuntivi per elettricità, gas e carburanti</w:t>
      </w:r>
      <w:r w:rsidR="00DC1697">
        <w:rPr>
          <w:rStyle w:val="Rimandonotaapidipagina"/>
          <w:rFonts w:ascii="Verdana" w:hAnsi="Verdana"/>
          <w:sz w:val="28"/>
          <w:szCs w:val="28"/>
        </w:rPr>
        <w:footnoteReference w:id="2"/>
      </w:r>
      <w:r w:rsidR="00B75CBE">
        <w:rPr>
          <w:rFonts w:ascii="Verdana" w:hAnsi="Verdana"/>
          <w:sz w:val="28"/>
          <w:szCs w:val="28"/>
        </w:rPr>
        <w:t>. Si è giunti a questo risultato</w:t>
      </w:r>
      <w:r w:rsidRPr="00CF1C7F">
        <w:rPr>
          <w:rFonts w:ascii="Verdana" w:hAnsi="Verdana"/>
          <w:sz w:val="28"/>
          <w:szCs w:val="28"/>
        </w:rPr>
        <w:t xml:space="preserve"> ipotizzando che </w:t>
      </w:r>
      <w:r w:rsidR="00DD6A2F">
        <w:rPr>
          <w:rFonts w:ascii="Verdana" w:hAnsi="Verdana"/>
          <w:sz w:val="28"/>
          <w:szCs w:val="28"/>
        </w:rPr>
        <w:t>i</w:t>
      </w:r>
      <w:r w:rsidRPr="00CF1C7F">
        <w:rPr>
          <w:rFonts w:ascii="Verdana" w:hAnsi="Verdana"/>
          <w:sz w:val="28"/>
          <w:szCs w:val="28"/>
        </w:rPr>
        <w:t xml:space="preserve"> prezzi </w:t>
      </w:r>
      <w:r w:rsidR="009E2043">
        <w:rPr>
          <w:rFonts w:ascii="Verdana" w:hAnsi="Verdana"/>
          <w:sz w:val="28"/>
          <w:szCs w:val="28"/>
        </w:rPr>
        <w:lastRenderedPageBreak/>
        <w:t xml:space="preserve">applicati in questo momento </w:t>
      </w:r>
      <w:r w:rsidR="00525940">
        <w:rPr>
          <w:rFonts w:ascii="Verdana" w:hAnsi="Verdana"/>
          <w:sz w:val="28"/>
          <w:szCs w:val="28"/>
        </w:rPr>
        <w:t>rimangano</w:t>
      </w:r>
      <w:r w:rsidRPr="00CF1C7F">
        <w:rPr>
          <w:rFonts w:ascii="Verdana" w:hAnsi="Verdana"/>
          <w:sz w:val="28"/>
          <w:szCs w:val="28"/>
        </w:rPr>
        <w:t xml:space="preserve"> invariati </w:t>
      </w:r>
      <w:r>
        <w:rPr>
          <w:rFonts w:ascii="Verdana" w:hAnsi="Verdana"/>
          <w:sz w:val="28"/>
          <w:szCs w:val="28"/>
        </w:rPr>
        <w:t>s</w:t>
      </w:r>
      <w:r w:rsidRPr="00CF1C7F">
        <w:rPr>
          <w:rFonts w:ascii="Verdana" w:hAnsi="Verdana"/>
          <w:sz w:val="28"/>
          <w:szCs w:val="28"/>
        </w:rPr>
        <w:t xml:space="preserve">ino </w:t>
      </w:r>
      <w:r w:rsidR="00C7749D">
        <w:rPr>
          <w:rFonts w:ascii="Verdana" w:hAnsi="Verdana"/>
          <w:sz w:val="28"/>
          <w:szCs w:val="28"/>
        </w:rPr>
        <w:t>alla</w:t>
      </w:r>
      <w:r w:rsidRPr="00CF1C7F">
        <w:rPr>
          <w:rFonts w:ascii="Verdana" w:hAnsi="Verdana"/>
          <w:sz w:val="28"/>
          <w:szCs w:val="28"/>
        </w:rPr>
        <w:t xml:space="preserve"> fine </w:t>
      </w:r>
      <w:r w:rsidR="00C7749D">
        <w:rPr>
          <w:rFonts w:ascii="Verdana" w:hAnsi="Verdana"/>
          <w:sz w:val="28"/>
          <w:szCs w:val="28"/>
        </w:rPr>
        <w:t>di quest’</w:t>
      </w:r>
      <w:r w:rsidRPr="00CF1C7F">
        <w:rPr>
          <w:rFonts w:ascii="Verdana" w:hAnsi="Verdana"/>
          <w:sz w:val="28"/>
          <w:szCs w:val="28"/>
        </w:rPr>
        <w:t>anno. Il rincaro maggiore riguard</w:t>
      </w:r>
      <w:r w:rsidR="006478D4">
        <w:rPr>
          <w:rFonts w:ascii="Verdana" w:hAnsi="Verdana"/>
          <w:sz w:val="28"/>
          <w:szCs w:val="28"/>
        </w:rPr>
        <w:t>erà</w:t>
      </w:r>
      <w:r w:rsidRPr="00CF1C7F">
        <w:rPr>
          <w:rFonts w:ascii="Verdana" w:hAnsi="Verdana"/>
          <w:sz w:val="28"/>
          <w:szCs w:val="28"/>
        </w:rPr>
        <w:t xml:space="preserve"> benzina e diesel, con una spesa extra di 13,6 miliardi di euro (+20,4</w:t>
      </w:r>
      <w:r>
        <w:rPr>
          <w:rFonts w:ascii="Verdana" w:hAnsi="Verdana"/>
          <w:sz w:val="28"/>
          <w:szCs w:val="28"/>
        </w:rPr>
        <w:t xml:space="preserve"> per cento</w:t>
      </w:r>
      <w:r w:rsidRPr="00CF1C7F">
        <w:rPr>
          <w:rFonts w:ascii="Verdana" w:hAnsi="Verdana"/>
          <w:sz w:val="28"/>
          <w:szCs w:val="28"/>
        </w:rPr>
        <w:t xml:space="preserve"> rispetto al 2025), seguiti dall'energia elettrica </w:t>
      </w:r>
      <w:r w:rsidR="006478D4">
        <w:rPr>
          <w:rFonts w:ascii="Verdana" w:hAnsi="Verdana"/>
          <w:sz w:val="28"/>
          <w:szCs w:val="28"/>
        </w:rPr>
        <w:t xml:space="preserve">con </w:t>
      </w:r>
      <w:r w:rsidRPr="00CF1C7F">
        <w:rPr>
          <w:rFonts w:ascii="Verdana" w:hAnsi="Verdana"/>
          <w:sz w:val="28"/>
          <w:szCs w:val="28"/>
        </w:rPr>
        <w:t xml:space="preserve">+10,2 miliardi </w:t>
      </w:r>
      <w:r w:rsidR="006478D4">
        <w:rPr>
          <w:rFonts w:ascii="Verdana" w:hAnsi="Verdana"/>
          <w:sz w:val="28"/>
          <w:szCs w:val="28"/>
        </w:rPr>
        <w:t>(</w:t>
      </w:r>
      <w:r w:rsidRPr="00CF1C7F">
        <w:rPr>
          <w:rFonts w:ascii="Verdana" w:hAnsi="Verdana"/>
          <w:sz w:val="28"/>
          <w:szCs w:val="28"/>
        </w:rPr>
        <w:t>+12,9</w:t>
      </w:r>
      <w:r>
        <w:rPr>
          <w:rFonts w:ascii="Verdana" w:hAnsi="Verdana"/>
          <w:sz w:val="28"/>
          <w:szCs w:val="28"/>
        </w:rPr>
        <w:t xml:space="preserve"> per cento</w:t>
      </w:r>
      <w:r w:rsidRPr="00CF1C7F">
        <w:rPr>
          <w:rFonts w:ascii="Verdana" w:hAnsi="Verdana"/>
          <w:sz w:val="28"/>
          <w:szCs w:val="28"/>
        </w:rPr>
        <w:t xml:space="preserve">) e dal gas </w:t>
      </w:r>
      <w:r w:rsidR="006478D4">
        <w:rPr>
          <w:rFonts w:ascii="Verdana" w:hAnsi="Verdana"/>
          <w:sz w:val="28"/>
          <w:szCs w:val="28"/>
        </w:rPr>
        <w:t xml:space="preserve">con </w:t>
      </w:r>
      <w:r w:rsidRPr="00CF1C7F">
        <w:rPr>
          <w:rFonts w:ascii="Verdana" w:hAnsi="Verdana"/>
          <w:sz w:val="28"/>
          <w:szCs w:val="28"/>
        </w:rPr>
        <w:t xml:space="preserve">+5 miliardi </w:t>
      </w:r>
      <w:r w:rsidR="006478D4">
        <w:rPr>
          <w:rFonts w:ascii="Verdana" w:hAnsi="Verdana"/>
          <w:sz w:val="28"/>
          <w:szCs w:val="28"/>
        </w:rPr>
        <w:t>(</w:t>
      </w:r>
      <w:r w:rsidRPr="00CF1C7F">
        <w:rPr>
          <w:rFonts w:ascii="Verdana" w:hAnsi="Verdana"/>
          <w:sz w:val="28"/>
          <w:szCs w:val="28"/>
        </w:rPr>
        <w:t>+14,6</w:t>
      </w:r>
      <w:r>
        <w:rPr>
          <w:rFonts w:ascii="Verdana" w:hAnsi="Verdana"/>
          <w:sz w:val="28"/>
          <w:szCs w:val="28"/>
        </w:rPr>
        <w:t xml:space="preserve"> per cento</w:t>
      </w:r>
      <w:r w:rsidRPr="00CF1C7F">
        <w:rPr>
          <w:rFonts w:ascii="Verdana" w:hAnsi="Verdana"/>
          <w:sz w:val="28"/>
          <w:szCs w:val="28"/>
        </w:rPr>
        <w:t>)</w:t>
      </w:r>
      <w:r w:rsidR="00542C97">
        <w:rPr>
          <w:rFonts w:ascii="Verdana" w:hAnsi="Verdana"/>
          <w:sz w:val="28"/>
          <w:szCs w:val="28"/>
        </w:rPr>
        <w:t xml:space="preserve"> (vedi Tab. 1)</w:t>
      </w:r>
      <w:r w:rsidRPr="00CF1C7F">
        <w:rPr>
          <w:rFonts w:ascii="Verdana" w:hAnsi="Verdana"/>
          <w:sz w:val="28"/>
          <w:szCs w:val="28"/>
        </w:rPr>
        <w:t xml:space="preserve">. Un conto salato che rischia di pesare soprattutto sulle famiglie </w:t>
      </w:r>
      <w:r w:rsidR="00B75CBE">
        <w:rPr>
          <w:rFonts w:ascii="Verdana" w:hAnsi="Verdana"/>
          <w:sz w:val="28"/>
          <w:szCs w:val="28"/>
        </w:rPr>
        <w:t>economicamente più fragili</w:t>
      </w:r>
      <w:r w:rsidR="000E22B1">
        <w:rPr>
          <w:rFonts w:ascii="Verdana" w:hAnsi="Verdana"/>
          <w:sz w:val="28"/>
          <w:szCs w:val="28"/>
        </w:rPr>
        <w:t>,</w:t>
      </w:r>
      <w:r w:rsidRPr="00CF1C7F">
        <w:rPr>
          <w:rFonts w:ascii="Verdana" w:hAnsi="Verdana"/>
          <w:sz w:val="28"/>
          <w:szCs w:val="28"/>
        </w:rPr>
        <w:t xml:space="preserve"> </w:t>
      </w:r>
      <w:r w:rsidR="008111AE">
        <w:rPr>
          <w:rFonts w:ascii="Verdana" w:hAnsi="Verdana"/>
          <w:sz w:val="28"/>
          <w:szCs w:val="28"/>
        </w:rPr>
        <w:t>sulle aziende di trasporto di persone/merci</w:t>
      </w:r>
      <w:r w:rsidRPr="00CF1C7F">
        <w:rPr>
          <w:rFonts w:ascii="Verdana" w:hAnsi="Verdana"/>
          <w:sz w:val="28"/>
          <w:szCs w:val="28"/>
        </w:rPr>
        <w:t xml:space="preserve"> </w:t>
      </w:r>
      <w:r w:rsidR="008111AE">
        <w:rPr>
          <w:rFonts w:ascii="Verdana" w:hAnsi="Verdana"/>
          <w:sz w:val="28"/>
          <w:szCs w:val="28"/>
        </w:rPr>
        <w:t xml:space="preserve">e sulle </w:t>
      </w:r>
      <w:r w:rsidRPr="00CF1C7F">
        <w:rPr>
          <w:rFonts w:ascii="Verdana" w:hAnsi="Verdana"/>
          <w:sz w:val="28"/>
          <w:szCs w:val="28"/>
        </w:rPr>
        <w:t>imprese a elevato consumo di energia.</w:t>
      </w:r>
    </w:p>
    <w:p w:rsidR="00FA454E" w:rsidRDefault="00FA454E" w:rsidP="00A958C3">
      <w:pPr>
        <w:pStyle w:val="NormaleWeb"/>
        <w:spacing w:line="360" w:lineRule="auto"/>
        <w:contextualSpacing/>
        <w:jc w:val="both"/>
        <w:rPr>
          <w:rFonts w:ascii="Verdana" w:hAnsi="Verdana"/>
          <w:sz w:val="28"/>
          <w:szCs w:val="28"/>
        </w:rPr>
      </w:pPr>
    </w:p>
    <w:p w:rsidR="00FA454E" w:rsidRPr="00381F85" w:rsidRDefault="00FA454E" w:rsidP="00FA454E">
      <w:pPr>
        <w:pStyle w:val="NormaleWeb"/>
        <w:numPr>
          <w:ilvl w:val="0"/>
          <w:numId w:val="13"/>
        </w:numPr>
        <w:spacing w:line="360" w:lineRule="auto"/>
        <w:contextualSpacing/>
        <w:jc w:val="both"/>
        <w:rPr>
          <w:rFonts w:ascii="Verdana" w:hAnsi="Verdana"/>
          <w:b/>
          <w:sz w:val="28"/>
          <w:szCs w:val="28"/>
        </w:rPr>
      </w:pPr>
      <w:r>
        <w:rPr>
          <w:rFonts w:ascii="Verdana" w:hAnsi="Verdana"/>
          <w:b/>
          <w:sz w:val="28"/>
          <w:szCs w:val="28"/>
        </w:rPr>
        <w:t xml:space="preserve">Rincari boom in </w:t>
      </w:r>
      <w:r w:rsidRPr="00381F85">
        <w:rPr>
          <w:rFonts w:ascii="Verdana" w:hAnsi="Verdana"/>
          <w:b/>
          <w:sz w:val="28"/>
          <w:szCs w:val="28"/>
        </w:rPr>
        <w:t xml:space="preserve">Lombardia, Emilia Romagna e Veneto </w:t>
      </w:r>
    </w:p>
    <w:p w:rsidR="004B1D33" w:rsidRDefault="005E3EF8" w:rsidP="00381F85">
      <w:pPr>
        <w:pStyle w:val="NormaleWeb"/>
        <w:spacing w:line="360" w:lineRule="auto"/>
        <w:contextualSpacing/>
        <w:jc w:val="both"/>
        <w:rPr>
          <w:rFonts w:ascii="Verdana" w:hAnsi="Verdana"/>
          <w:sz w:val="28"/>
          <w:szCs w:val="28"/>
        </w:rPr>
      </w:pPr>
      <w:r w:rsidRPr="005E3EF8">
        <w:rPr>
          <w:rFonts w:ascii="Verdana" w:hAnsi="Verdana"/>
          <w:sz w:val="28"/>
          <w:szCs w:val="28"/>
        </w:rPr>
        <w:t xml:space="preserve">Sul fronte territoriale, è la Lombardia a pagare il prezzo più alto: </w:t>
      </w:r>
      <w:r w:rsidR="006478D4">
        <w:rPr>
          <w:rFonts w:ascii="Verdana" w:hAnsi="Verdana"/>
          <w:sz w:val="28"/>
          <w:szCs w:val="28"/>
        </w:rPr>
        <w:t>gli aumenti</w:t>
      </w:r>
      <w:r w:rsidRPr="005E3EF8">
        <w:rPr>
          <w:rFonts w:ascii="Verdana" w:hAnsi="Verdana"/>
          <w:sz w:val="28"/>
          <w:szCs w:val="28"/>
        </w:rPr>
        <w:t xml:space="preserve"> energetici graveranno sulla regione per 5,4 miliardi di euro, con un incremento del 15,1</w:t>
      </w:r>
      <w:r w:rsidR="006478D4">
        <w:rPr>
          <w:rFonts w:ascii="Verdana" w:hAnsi="Verdana"/>
          <w:sz w:val="28"/>
          <w:szCs w:val="28"/>
        </w:rPr>
        <w:t xml:space="preserve"> per cento</w:t>
      </w:r>
      <w:r w:rsidRPr="005E3EF8">
        <w:rPr>
          <w:rFonts w:ascii="Verdana" w:hAnsi="Verdana"/>
          <w:sz w:val="28"/>
          <w:szCs w:val="28"/>
        </w:rPr>
        <w:t xml:space="preserve"> rispetto al 2025. Al secondo posto l'Emilia-Romagna, con un aggravio di 3 miliardi di euro (+16,1</w:t>
      </w:r>
      <w:r w:rsidR="006478D4">
        <w:rPr>
          <w:rFonts w:ascii="Verdana" w:hAnsi="Verdana"/>
          <w:sz w:val="28"/>
          <w:szCs w:val="28"/>
        </w:rPr>
        <w:t xml:space="preserve"> per cento</w:t>
      </w:r>
      <w:r w:rsidRPr="005E3EF8">
        <w:rPr>
          <w:rFonts w:ascii="Verdana" w:hAnsi="Verdana"/>
          <w:sz w:val="28"/>
          <w:szCs w:val="28"/>
        </w:rPr>
        <w:t>), seguita dal Veneto, dove il maggior costo sfiora i 2,9 miliardi (+15,8</w:t>
      </w:r>
      <w:r w:rsidR="006478D4">
        <w:rPr>
          <w:rFonts w:ascii="Verdana" w:hAnsi="Verdana"/>
          <w:sz w:val="28"/>
          <w:szCs w:val="28"/>
        </w:rPr>
        <w:t xml:space="preserve"> per cento</w:t>
      </w:r>
      <w:r w:rsidRPr="005E3EF8">
        <w:rPr>
          <w:rFonts w:ascii="Verdana" w:hAnsi="Verdana"/>
          <w:sz w:val="28"/>
          <w:szCs w:val="28"/>
        </w:rPr>
        <w:t xml:space="preserve">). </w:t>
      </w:r>
      <w:r w:rsidR="00C91550">
        <w:rPr>
          <w:rFonts w:ascii="Verdana" w:hAnsi="Verdana"/>
          <w:sz w:val="28"/>
          <w:szCs w:val="28"/>
        </w:rPr>
        <w:t xml:space="preserve">E’ evidente </w:t>
      </w:r>
      <w:r w:rsidRPr="005E3EF8">
        <w:rPr>
          <w:rFonts w:ascii="Verdana" w:hAnsi="Verdana"/>
          <w:sz w:val="28"/>
          <w:szCs w:val="28"/>
        </w:rPr>
        <w:t>che a subire l'impatto più</w:t>
      </w:r>
      <w:r w:rsidR="00C91550">
        <w:rPr>
          <w:rFonts w:ascii="Verdana" w:hAnsi="Verdana"/>
          <w:sz w:val="28"/>
          <w:szCs w:val="28"/>
        </w:rPr>
        <w:t xml:space="preserve"> </w:t>
      </w:r>
      <w:proofErr w:type="gramStart"/>
      <w:r w:rsidRPr="005E3EF8">
        <w:rPr>
          <w:rFonts w:ascii="Verdana" w:hAnsi="Verdana"/>
          <w:sz w:val="28"/>
          <w:szCs w:val="28"/>
        </w:rPr>
        <w:t>pesante</w:t>
      </w:r>
      <w:r w:rsidR="00C91550">
        <w:rPr>
          <w:rFonts w:ascii="Verdana" w:hAnsi="Verdana"/>
          <w:sz w:val="28"/>
          <w:szCs w:val="28"/>
        </w:rPr>
        <w:t xml:space="preserve"> </w:t>
      </w:r>
      <w:r w:rsidR="00F4067B">
        <w:rPr>
          <w:rFonts w:ascii="Verdana" w:hAnsi="Verdana"/>
          <w:sz w:val="28"/>
          <w:szCs w:val="28"/>
        </w:rPr>
        <w:t xml:space="preserve"> </w:t>
      </w:r>
      <w:r w:rsidR="00C91550">
        <w:rPr>
          <w:rFonts w:ascii="Verdana" w:hAnsi="Verdana"/>
          <w:sz w:val="28"/>
          <w:szCs w:val="28"/>
        </w:rPr>
        <w:t>saranno</w:t>
      </w:r>
      <w:proofErr w:type="gramEnd"/>
      <w:r w:rsidRPr="005E3EF8">
        <w:rPr>
          <w:rFonts w:ascii="Verdana" w:hAnsi="Verdana"/>
          <w:sz w:val="28"/>
          <w:szCs w:val="28"/>
        </w:rPr>
        <w:t xml:space="preserve"> le regioni più popolose e </w:t>
      </w:r>
      <w:r w:rsidR="00C91550">
        <w:rPr>
          <w:rFonts w:ascii="Verdana" w:hAnsi="Verdana"/>
          <w:sz w:val="28"/>
          <w:szCs w:val="28"/>
        </w:rPr>
        <w:t>con la</w:t>
      </w:r>
      <w:r w:rsidRPr="005E3EF8">
        <w:rPr>
          <w:rFonts w:ascii="Verdana" w:hAnsi="Verdana"/>
          <w:sz w:val="28"/>
          <w:szCs w:val="28"/>
        </w:rPr>
        <w:t xml:space="preserve"> maggiore vocazione manifatturiera e commerciale</w:t>
      </w:r>
      <w:r w:rsidR="00F4067B">
        <w:rPr>
          <w:rFonts w:ascii="Verdana" w:hAnsi="Verdana"/>
          <w:sz w:val="28"/>
          <w:szCs w:val="28"/>
        </w:rPr>
        <w:t xml:space="preserve"> del Paese</w:t>
      </w:r>
      <w:r>
        <w:rPr>
          <w:rFonts w:ascii="Verdana" w:hAnsi="Verdana"/>
          <w:sz w:val="28"/>
          <w:szCs w:val="28"/>
        </w:rPr>
        <w:t xml:space="preserve">. Insomma, la stangata si </w:t>
      </w:r>
      <w:r>
        <w:rPr>
          <w:rFonts w:ascii="Verdana" w:hAnsi="Verdana"/>
          <w:sz w:val="28"/>
          <w:szCs w:val="28"/>
        </w:rPr>
        <w:lastRenderedPageBreak/>
        <w:t>abbatterà,</w:t>
      </w:r>
      <w:r w:rsidRPr="005E3EF8">
        <w:rPr>
          <w:rFonts w:ascii="Verdana" w:hAnsi="Verdana"/>
          <w:sz w:val="28"/>
          <w:szCs w:val="28"/>
        </w:rPr>
        <w:t xml:space="preserve"> i</w:t>
      </w:r>
      <w:r>
        <w:rPr>
          <w:rFonts w:ascii="Verdana" w:hAnsi="Verdana"/>
          <w:sz w:val="28"/>
          <w:szCs w:val="28"/>
        </w:rPr>
        <w:t xml:space="preserve">n </w:t>
      </w:r>
      <w:r w:rsidR="006478D4">
        <w:rPr>
          <w:rFonts w:ascii="Verdana" w:hAnsi="Verdana"/>
          <w:sz w:val="28"/>
          <w:szCs w:val="28"/>
        </w:rPr>
        <w:t xml:space="preserve">misura più </w:t>
      </w:r>
      <w:r w:rsidR="00C91550">
        <w:rPr>
          <w:rFonts w:ascii="Verdana" w:hAnsi="Verdana"/>
          <w:sz w:val="28"/>
          <w:szCs w:val="28"/>
        </w:rPr>
        <w:t>importante</w:t>
      </w:r>
      <w:r>
        <w:rPr>
          <w:rFonts w:ascii="Verdana" w:hAnsi="Verdana"/>
          <w:sz w:val="28"/>
          <w:szCs w:val="28"/>
        </w:rPr>
        <w:t xml:space="preserve">, sulle aree </w:t>
      </w:r>
      <w:r w:rsidR="00C91550">
        <w:rPr>
          <w:rFonts w:ascii="Verdana" w:hAnsi="Verdana"/>
          <w:sz w:val="28"/>
          <w:szCs w:val="28"/>
        </w:rPr>
        <w:t xml:space="preserve">geografiche </w:t>
      </w:r>
      <w:r>
        <w:rPr>
          <w:rFonts w:ascii="Verdana" w:hAnsi="Verdana"/>
          <w:sz w:val="28"/>
          <w:szCs w:val="28"/>
        </w:rPr>
        <w:t xml:space="preserve">economicamente più </w:t>
      </w:r>
      <w:r w:rsidR="00C91550">
        <w:rPr>
          <w:rFonts w:ascii="Verdana" w:hAnsi="Verdana"/>
          <w:sz w:val="28"/>
          <w:szCs w:val="28"/>
        </w:rPr>
        <w:t>avanzate</w:t>
      </w:r>
      <w:r w:rsidRPr="005E3EF8">
        <w:rPr>
          <w:rFonts w:ascii="Verdana" w:hAnsi="Verdana"/>
          <w:sz w:val="28"/>
          <w:szCs w:val="28"/>
        </w:rPr>
        <w:t xml:space="preserve"> </w:t>
      </w:r>
      <w:r w:rsidR="00F4067B">
        <w:rPr>
          <w:rFonts w:ascii="Verdana" w:hAnsi="Verdana"/>
          <w:sz w:val="28"/>
          <w:szCs w:val="28"/>
        </w:rPr>
        <w:t>della nostra penisola</w:t>
      </w:r>
      <w:r w:rsidRPr="005E3EF8">
        <w:rPr>
          <w:rFonts w:ascii="Verdana" w:hAnsi="Verdana"/>
          <w:sz w:val="28"/>
          <w:szCs w:val="28"/>
        </w:rPr>
        <w:t xml:space="preserve"> (vedi </w:t>
      </w:r>
      <w:proofErr w:type="spellStart"/>
      <w:r w:rsidRPr="005E3EF8">
        <w:rPr>
          <w:rFonts w:ascii="Verdana" w:hAnsi="Verdana"/>
          <w:sz w:val="28"/>
          <w:szCs w:val="28"/>
        </w:rPr>
        <w:t>Tab</w:t>
      </w:r>
      <w:proofErr w:type="spellEnd"/>
      <w:r w:rsidRPr="005E3EF8">
        <w:rPr>
          <w:rFonts w:ascii="Verdana" w:hAnsi="Verdana"/>
          <w:sz w:val="28"/>
          <w:szCs w:val="28"/>
        </w:rPr>
        <w:t>. 2).</w:t>
      </w:r>
    </w:p>
    <w:p w:rsidR="006478D4" w:rsidRPr="005E3EF8" w:rsidRDefault="006478D4" w:rsidP="00381F85">
      <w:pPr>
        <w:pStyle w:val="NormaleWeb"/>
        <w:spacing w:line="360" w:lineRule="auto"/>
        <w:contextualSpacing/>
        <w:jc w:val="both"/>
        <w:rPr>
          <w:rFonts w:ascii="Verdana" w:hAnsi="Verdana"/>
          <w:sz w:val="28"/>
          <w:szCs w:val="28"/>
        </w:rPr>
      </w:pPr>
    </w:p>
    <w:p w:rsidR="00BE24E4" w:rsidRDefault="00BE24E4" w:rsidP="00381F85">
      <w:pPr>
        <w:pStyle w:val="NormaleWeb"/>
        <w:spacing w:line="360" w:lineRule="auto"/>
        <w:contextualSpacing/>
        <w:jc w:val="both"/>
        <w:rPr>
          <w:rFonts w:ascii="Verdana" w:hAnsi="Verdana"/>
          <w:sz w:val="18"/>
          <w:szCs w:val="18"/>
        </w:rPr>
      </w:pPr>
    </w:p>
    <w:p w:rsidR="00A6233B" w:rsidRDefault="00372F97" w:rsidP="00A6233B">
      <w:pPr>
        <w:pStyle w:val="NormaleWeb"/>
        <w:numPr>
          <w:ilvl w:val="0"/>
          <w:numId w:val="13"/>
        </w:numPr>
        <w:spacing w:line="360" w:lineRule="auto"/>
        <w:contextualSpacing/>
        <w:jc w:val="both"/>
        <w:rPr>
          <w:rFonts w:ascii="Verdana" w:hAnsi="Verdana"/>
          <w:b/>
          <w:sz w:val="28"/>
          <w:szCs w:val="28"/>
        </w:rPr>
      </w:pPr>
      <w:r>
        <w:rPr>
          <w:rFonts w:ascii="Verdana" w:hAnsi="Verdana"/>
          <w:b/>
          <w:sz w:val="28"/>
          <w:szCs w:val="28"/>
        </w:rPr>
        <w:t>Spesa c</w:t>
      </w:r>
      <w:r w:rsidR="00A6233B" w:rsidRPr="00A6233B">
        <w:rPr>
          <w:rFonts w:ascii="Verdana" w:hAnsi="Verdana"/>
          <w:b/>
          <w:sz w:val="28"/>
          <w:szCs w:val="28"/>
        </w:rPr>
        <w:t xml:space="preserve">arburanti </w:t>
      </w:r>
      <w:r>
        <w:rPr>
          <w:rFonts w:ascii="Verdana" w:hAnsi="Verdana"/>
          <w:b/>
          <w:sz w:val="28"/>
          <w:szCs w:val="28"/>
        </w:rPr>
        <w:t>+ 13,6 miliardi</w:t>
      </w:r>
    </w:p>
    <w:p w:rsidR="00F54127" w:rsidRPr="00F54127" w:rsidRDefault="00F54127" w:rsidP="00F81BA4">
      <w:pPr>
        <w:spacing w:before="100" w:beforeAutospacing="1" w:after="100" w:afterAutospacing="1" w:line="360" w:lineRule="auto"/>
        <w:contextualSpacing/>
        <w:jc w:val="both"/>
        <w:rPr>
          <w:rFonts w:ascii="Verdana" w:eastAsia="Times New Roman" w:hAnsi="Verdana"/>
          <w:sz w:val="28"/>
          <w:szCs w:val="28"/>
          <w:lang w:eastAsia="it-IT"/>
        </w:rPr>
      </w:pPr>
      <w:r w:rsidRPr="00F54127">
        <w:rPr>
          <w:rFonts w:ascii="Verdana" w:hAnsi="Verdana"/>
          <w:sz w:val="28"/>
          <w:szCs w:val="28"/>
        </w:rPr>
        <w:t xml:space="preserve">Con i prezzi alla pompa di benzina e diesel </w:t>
      </w:r>
      <w:r>
        <w:rPr>
          <w:rFonts w:ascii="Verdana" w:hAnsi="Verdana"/>
          <w:sz w:val="28"/>
          <w:szCs w:val="28"/>
        </w:rPr>
        <w:t xml:space="preserve">in modalità self service </w:t>
      </w:r>
      <w:r w:rsidRPr="00F54127">
        <w:rPr>
          <w:rFonts w:ascii="Verdana" w:hAnsi="Verdana"/>
          <w:sz w:val="28"/>
          <w:szCs w:val="28"/>
        </w:rPr>
        <w:t xml:space="preserve">attestatisi, nell'ultima settimana, rispettivamente a 1,91 e 2,04 euro al litro — con un rincaro, rispetto al periodo </w:t>
      </w:r>
      <w:r>
        <w:rPr>
          <w:rFonts w:ascii="Verdana" w:hAnsi="Verdana"/>
          <w:sz w:val="28"/>
          <w:szCs w:val="28"/>
        </w:rPr>
        <w:t>a ridosso</w:t>
      </w:r>
      <w:r w:rsidRPr="00F54127">
        <w:rPr>
          <w:rFonts w:ascii="Verdana" w:hAnsi="Verdana"/>
          <w:sz w:val="28"/>
          <w:szCs w:val="28"/>
        </w:rPr>
        <w:t xml:space="preserve"> </w:t>
      </w:r>
      <w:r>
        <w:rPr>
          <w:rFonts w:ascii="Verdana" w:hAnsi="Verdana"/>
          <w:sz w:val="28"/>
          <w:szCs w:val="28"/>
        </w:rPr>
        <w:t>del</w:t>
      </w:r>
      <w:r w:rsidRPr="00F54127">
        <w:rPr>
          <w:rFonts w:ascii="Verdana" w:hAnsi="Verdana"/>
          <w:sz w:val="28"/>
          <w:szCs w:val="28"/>
        </w:rPr>
        <w:t>l'inizio delle ostilità, del +14,4</w:t>
      </w:r>
      <w:r>
        <w:rPr>
          <w:rFonts w:ascii="Verdana" w:hAnsi="Verdana"/>
          <w:sz w:val="28"/>
          <w:szCs w:val="28"/>
        </w:rPr>
        <w:t xml:space="preserve"> per cento</w:t>
      </w:r>
      <w:r w:rsidRPr="00F54127">
        <w:rPr>
          <w:rFonts w:ascii="Verdana" w:hAnsi="Verdana"/>
          <w:sz w:val="28"/>
          <w:szCs w:val="28"/>
        </w:rPr>
        <w:t xml:space="preserve"> per il primo e del +18,5</w:t>
      </w:r>
      <w:r>
        <w:rPr>
          <w:rFonts w:ascii="Verdana" w:hAnsi="Verdana"/>
          <w:sz w:val="28"/>
          <w:szCs w:val="28"/>
        </w:rPr>
        <w:t xml:space="preserve"> per cento</w:t>
      </w:r>
      <w:r w:rsidRPr="00F54127">
        <w:rPr>
          <w:rFonts w:ascii="Verdana" w:hAnsi="Verdana"/>
          <w:sz w:val="28"/>
          <w:szCs w:val="28"/>
        </w:rPr>
        <w:t xml:space="preserve"> per il secondo (vedi Graf. 1) — l'Ufficio studi della CGIA prevede, per il 2026, un aggravio complessivo a livello nazionale pari a circa 13,6 miliardi di euro rispetto al 2025, con un incremento del 20,4</w:t>
      </w:r>
      <w:r>
        <w:rPr>
          <w:rFonts w:ascii="Verdana" w:hAnsi="Verdana"/>
          <w:sz w:val="28"/>
          <w:szCs w:val="28"/>
        </w:rPr>
        <w:t xml:space="preserve"> per cento</w:t>
      </w:r>
      <w:r w:rsidRPr="00F54127">
        <w:rPr>
          <w:rFonts w:ascii="Verdana" w:hAnsi="Verdana"/>
          <w:sz w:val="28"/>
          <w:szCs w:val="28"/>
        </w:rPr>
        <w:t>.</w:t>
      </w:r>
    </w:p>
    <w:p w:rsidR="00F81BA4" w:rsidRDefault="00F81BA4" w:rsidP="00F81BA4">
      <w:pPr>
        <w:spacing w:before="100" w:beforeAutospacing="1" w:after="100" w:afterAutospacing="1" w:line="360" w:lineRule="auto"/>
        <w:contextualSpacing/>
        <w:jc w:val="both"/>
        <w:rPr>
          <w:rFonts w:ascii="Verdana" w:eastAsia="Times New Roman" w:hAnsi="Verdana"/>
          <w:sz w:val="28"/>
          <w:szCs w:val="28"/>
          <w:lang w:eastAsia="it-IT"/>
        </w:rPr>
      </w:pPr>
      <w:r w:rsidRPr="00F81BA4">
        <w:rPr>
          <w:rFonts w:ascii="Verdana" w:eastAsia="Times New Roman" w:hAnsi="Verdana"/>
          <w:sz w:val="28"/>
          <w:szCs w:val="28"/>
          <w:lang w:eastAsia="it-IT"/>
        </w:rPr>
        <w:t xml:space="preserve">A livello territoriale, </w:t>
      </w:r>
      <w:r w:rsidR="00F54127">
        <w:rPr>
          <w:rFonts w:ascii="Verdana" w:eastAsia="Times New Roman" w:hAnsi="Verdana"/>
          <w:sz w:val="28"/>
          <w:szCs w:val="28"/>
          <w:lang w:eastAsia="it-IT"/>
        </w:rPr>
        <w:t>gli aumenti</w:t>
      </w:r>
      <w:r w:rsidRPr="00F81BA4">
        <w:rPr>
          <w:rFonts w:ascii="Verdana" w:eastAsia="Times New Roman" w:hAnsi="Verdana"/>
          <w:sz w:val="28"/>
          <w:szCs w:val="28"/>
          <w:lang w:eastAsia="it-IT"/>
        </w:rPr>
        <w:t xml:space="preserve"> più marcati in termini percentuali si </w:t>
      </w:r>
      <w:r w:rsidR="00C91550">
        <w:rPr>
          <w:rFonts w:ascii="Verdana" w:eastAsia="Times New Roman" w:hAnsi="Verdana"/>
          <w:sz w:val="28"/>
          <w:szCs w:val="28"/>
          <w:lang w:eastAsia="it-IT"/>
        </w:rPr>
        <w:t>dovrebbero registrare</w:t>
      </w:r>
      <w:r w:rsidRPr="00F81BA4">
        <w:rPr>
          <w:rFonts w:ascii="Verdana" w:eastAsia="Times New Roman" w:hAnsi="Verdana"/>
          <w:sz w:val="28"/>
          <w:szCs w:val="28"/>
          <w:lang w:eastAsia="it-IT"/>
        </w:rPr>
        <w:t xml:space="preserve"> in Basilicata, dove l’aumento raggiungerebbe il 21,6</w:t>
      </w:r>
      <w:r w:rsidR="00DE64F5">
        <w:rPr>
          <w:rFonts w:ascii="Verdana" w:eastAsia="Times New Roman" w:hAnsi="Verdana"/>
          <w:sz w:val="28"/>
          <w:szCs w:val="28"/>
          <w:lang w:eastAsia="it-IT"/>
        </w:rPr>
        <w:t xml:space="preserve"> per cento</w:t>
      </w:r>
      <w:r w:rsidRPr="00F81BA4">
        <w:rPr>
          <w:rFonts w:ascii="Verdana" w:eastAsia="Times New Roman" w:hAnsi="Verdana"/>
          <w:sz w:val="28"/>
          <w:szCs w:val="28"/>
          <w:lang w:eastAsia="it-IT"/>
        </w:rPr>
        <w:t xml:space="preserve"> (+118 milioni di euro). Seguono la Campania e la Puglia, entrambe con un incremento del 21,3</w:t>
      </w:r>
      <w:r w:rsidR="00DE64F5">
        <w:rPr>
          <w:rFonts w:ascii="Verdana" w:eastAsia="Times New Roman" w:hAnsi="Verdana"/>
          <w:sz w:val="28"/>
          <w:szCs w:val="28"/>
          <w:lang w:eastAsia="it-IT"/>
        </w:rPr>
        <w:t xml:space="preserve"> per cento</w:t>
      </w:r>
      <w:r w:rsidRPr="00F81BA4">
        <w:rPr>
          <w:rFonts w:ascii="Verdana" w:eastAsia="Times New Roman" w:hAnsi="Verdana"/>
          <w:sz w:val="28"/>
          <w:szCs w:val="28"/>
          <w:lang w:eastAsia="it-IT"/>
        </w:rPr>
        <w:t>: nel primo caso l’impatto economico è stimato in circa 1 miliardo di euro, nel secondo in 837 milioni</w:t>
      </w:r>
      <w:r w:rsidR="000111A3">
        <w:rPr>
          <w:rFonts w:ascii="Verdana" w:eastAsia="Times New Roman" w:hAnsi="Verdana"/>
          <w:sz w:val="28"/>
          <w:szCs w:val="28"/>
          <w:lang w:eastAsia="it-IT"/>
        </w:rPr>
        <w:t xml:space="preserve"> (vedi </w:t>
      </w:r>
      <w:proofErr w:type="spellStart"/>
      <w:r w:rsidR="000111A3">
        <w:rPr>
          <w:rFonts w:ascii="Verdana" w:eastAsia="Times New Roman" w:hAnsi="Verdana"/>
          <w:sz w:val="28"/>
          <w:szCs w:val="28"/>
          <w:lang w:eastAsia="it-IT"/>
        </w:rPr>
        <w:t>Tab</w:t>
      </w:r>
      <w:proofErr w:type="spellEnd"/>
      <w:r w:rsidR="000111A3">
        <w:rPr>
          <w:rFonts w:ascii="Verdana" w:eastAsia="Times New Roman" w:hAnsi="Verdana"/>
          <w:sz w:val="28"/>
          <w:szCs w:val="28"/>
          <w:lang w:eastAsia="it-IT"/>
        </w:rPr>
        <w:t>. 3)</w:t>
      </w:r>
      <w:r w:rsidRPr="00F81BA4">
        <w:rPr>
          <w:rFonts w:ascii="Verdana" w:eastAsia="Times New Roman" w:hAnsi="Verdana"/>
          <w:sz w:val="28"/>
          <w:szCs w:val="28"/>
          <w:lang w:eastAsia="it-IT"/>
        </w:rPr>
        <w:t>.</w:t>
      </w:r>
      <w:r w:rsidR="00DE64F5">
        <w:rPr>
          <w:rFonts w:ascii="Verdana" w:eastAsia="Times New Roman" w:hAnsi="Verdana"/>
          <w:sz w:val="28"/>
          <w:szCs w:val="28"/>
          <w:lang w:eastAsia="it-IT"/>
        </w:rPr>
        <w:t xml:space="preserve"> </w:t>
      </w:r>
      <w:r w:rsidRPr="00F81BA4">
        <w:rPr>
          <w:rFonts w:ascii="Verdana" w:eastAsia="Times New Roman" w:hAnsi="Verdana"/>
          <w:sz w:val="28"/>
          <w:szCs w:val="28"/>
          <w:lang w:eastAsia="it-IT"/>
        </w:rPr>
        <w:t>Un quadro che evidenzia come l’andamento dei prezzi dei carburanti continui a produrre effetti significativi e disomogenei sul territorio nazionale, con ricadute particolarmente rilevanti per famiglie e imprese delle regioni del Mezzogiorno.</w:t>
      </w:r>
    </w:p>
    <w:p w:rsidR="00705BF9" w:rsidRDefault="00705BF9" w:rsidP="00F81BA4">
      <w:pPr>
        <w:spacing w:before="100" w:beforeAutospacing="1" w:after="100" w:afterAutospacing="1" w:line="360" w:lineRule="auto"/>
        <w:contextualSpacing/>
        <w:jc w:val="both"/>
        <w:rPr>
          <w:rFonts w:ascii="Verdana" w:eastAsia="Times New Roman" w:hAnsi="Verdana"/>
          <w:sz w:val="16"/>
          <w:szCs w:val="16"/>
          <w:lang w:eastAsia="it-IT"/>
        </w:rPr>
      </w:pPr>
    </w:p>
    <w:p w:rsidR="00C91550" w:rsidRDefault="00C91550" w:rsidP="00F81BA4">
      <w:pPr>
        <w:spacing w:before="100" w:beforeAutospacing="1" w:after="100" w:afterAutospacing="1" w:line="360" w:lineRule="auto"/>
        <w:contextualSpacing/>
        <w:jc w:val="both"/>
        <w:rPr>
          <w:rFonts w:ascii="Verdana" w:eastAsia="Times New Roman" w:hAnsi="Verdana"/>
          <w:sz w:val="16"/>
          <w:szCs w:val="16"/>
          <w:lang w:eastAsia="it-IT"/>
        </w:rPr>
      </w:pPr>
    </w:p>
    <w:p w:rsidR="00C91550" w:rsidRDefault="00C91550" w:rsidP="00F81BA4">
      <w:pPr>
        <w:spacing w:before="100" w:beforeAutospacing="1" w:after="100" w:afterAutospacing="1" w:line="360" w:lineRule="auto"/>
        <w:contextualSpacing/>
        <w:jc w:val="both"/>
        <w:rPr>
          <w:rFonts w:ascii="Verdana" w:eastAsia="Times New Roman" w:hAnsi="Verdana"/>
          <w:sz w:val="16"/>
          <w:szCs w:val="16"/>
          <w:lang w:eastAsia="it-IT"/>
        </w:rPr>
      </w:pPr>
    </w:p>
    <w:p w:rsidR="00C91550" w:rsidRDefault="00C91550" w:rsidP="00F81BA4">
      <w:pPr>
        <w:spacing w:before="100" w:beforeAutospacing="1" w:after="100" w:afterAutospacing="1" w:line="360" w:lineRule="auto"/>
        <w:contextualSpacing/>
        <w:jc w:val="both"/>
        <w:rPr>
          <w:rFonts w:ascii="Verdana" w:eastAsia="Times New Roman" w:hAnsi="Verdana"/>
          <w:sz w:val="16"/>
          <w:szCs w:val="16"/>
          <w:lang w:eastAsia="it-IT"/>
        </w:rPr>
      </w:pPr>
    </w:p>
    <w:p w:rsidR="00C91550" w:rsidRDefault="00C91550" w:rsidP="00F81BA4">
      <w:pPr>
        <w:spacing w:before="100" w:beforeAutospacing="1" w:after="100" w:afterAutospacing="1" w:line="360" w:lineRule="auto"/>
        <w:contextualSpacing/>
        <w:jc w:val="both"/>
        <w:rPr>
          <w:rFonts w:ascii="Verdana" w:eastAsia="Times New Roman" w:hAnsi="Verdana"/>
          <w:sz w:val="16"/>
          <w:szCs w:val="16"/>
          <w:lang w:eastAsia="it-IT"/>
        </w:rPr>
      </w:pPr>
    </w:p>
    <w:p w:rsidR="00B373C0" w:rsidRPr="00B373C0" w:rsidRDefault="006719A3" w:rsidP="00B373C0">
      <w:pPr>
        <w:pStyle w:val="Paragrafoelenco"/>
        <w:numPr>
          <w:ilvl w:val="0"/>
          <w:numId w:val="13"/>
        </w:numPr>
        <w:spacing w:before="100" w:beforeAutospacing="1" w:after="100" w:afterAutospacing="1" w:line="360" w:lineRule="auto"/>
        <w:jc w:val="both"/>
        <w:rPr>
          <w:rFonts w:ascii="Verdana" w:eastAsia="Times New Roman" w:hAnsi="Verdana"/>
          <w:b/>
          <w:sz w:val="28"/>
          <w:szCs w:val="28"/>
          <w:lang w:eastAsia="it-IT"/>
        </w:rPr>
      </w:pPr>
      <w:r>
        <w:rPr>
          <w:rFonts w:ascii="Verdana" w:eastAsia="Times New Roman" w:hAnsi="Verdana"/>
          <w:b/>
          <w:sz w:val="28"/>
          <w:szCs w:val="28"/>
          <w:lang w:eastAsia="it-IT"/>
        </w:rPr>
        <w:lastRenderedPageBreak/>
        <w:t>P</w:t>
      </w:r>
      <w:r w:rsidR="000111A3" w:rsidRPr="000111A3">
        <w:rPr>
          <w:rFonts w:ascii="Verdana" w:eastAsia="Times New Roman" w:hAnsi="Verdana"/>
          <w:b/>
          <w:sz w:val="28"/>
          <w:szCs w:val="28"/>
          <w:lang w:eastAsia="it-IT"/>
        </w:rPr>
        <w:t xml:space="preserve">er le bollette della luce </w:t>
      </w:r>
      <w:r>
        <w:rPr>
          <w:rFonts w:ascii="Verdana" w:eastAsia="Times New Roman" w:hAnsi="Verdana"/>
          <w:b/>
          <w:sz w:val="28"/>
          <w:szCs w:val="28"/>
          <w:lang w:eastAsia="it-IT"/>
        </w:rPr>
        <w:t xml:space="preserve">un aggravio </w:t>
      </w:r>
      <w:r w:rsidR="000111A3" w:rsidRPr="000111A3">
        <w:rPr>
          <w:rFonts w:ascii="Verdana" w:eastAsia="Times New Roman" w:hAnsi="Verdana"/>
          <w:b/>
          <w:sz w:val="28"/>
          <w:szCs w:val="28"/>
          <w:lang w:eastAsia="it-IT"/>
        </w:rPr>
        <w:t>da 10,2 miliardi</w:t>
      </w:r>
    </w:p>
    <w:p w:rsidR="000111A3" w:rsidRDefault="00F54127" w:rsidP="000111A3">
      <w:pPr>
        <w:spacing w:before="100" w:beforeAutospacing="1" w:after="100" w:afterAutospacing="1" w:line="360" w:lineRule="auto"/>
        <w:jc w:val="both"/>
        <w:rPr>
          <w:rFonts w:ascii="Verdana" w:eastAsia="Times New Roman" w:hAnsi="Verdana"/>
          <w:sz w:val="28"/>
          <w:szCs w:val="28"/>
          <w:lang w:eastAsia="it-IT"/>
        </w:rPr>
      </w:pPr>
      <w:r>
        <w:rPr>
          <w:rFonts w:ascii="Verdana" w:eastAsia="Times New Roman" w:hAnsi="Verdana"/>
          <w:sz w:val="28"/>
          <w:szCs w:val="28"/>
          <w:lang w:eastAsia="it-IT"/>
        </w:rPr>
        <w:t>Rispetto all’ultima settimana di febbraio, il costo dell’energia elettrica ha subito una crescita di prezzo del 51,2 per cento. Siamo passati da 106,7 euro al MWh a 161,2</w:t>
      </w:r>
      <w:r w:rsidR="00C91550">
        <w:rPr>
          <w:rFonts w:ascii="Verdana" w:eastAsia="Times New Roman" w:hAnsi="Verdana"/>
          <w:sz w:val="28"/>
          <w:szCs w:val="28"/>
          <w:lang w:eastAsia="it-IT"/>
        </w:rPr>
        <w:t xml:space="preserve"> (vedi Graf. 2)</w:t>
      </w:r>
      <w:r>
        <w:rPr>
          <w:rFonts w:ascii="Verdana" w:eastAsia="Times New Roman" w:hAnsi="Verdana"/>
          <w:sz w:val="28"/>
          <w:szCs w:val="28"/>
          <w:lang w:eastAsia="it-IT"/>
        </w:rPr>
        <w:t>. P</w:t>
      </w:r>
      <w:r w:rsidR="00C268EA" w:rsidRPr="00C268EA">
        <w:rPr>
          <w:rFonts w:ascii="Verdana" w:eastAsia="Times New Roman" w:hAnsi="Verdana"/>
          <w:sz w:val="28"/>
          <w:szCs w:val="28"/>
          <w:lang w:eastAsia="it-IT"/>
        </w:rPr>
        <w:t>er l’anno in corso</w:t>
      </w:r>
      <w:r>
        <w:rPr>
          <w:rFonts w:ascii="Verdana" w:eastAsia="Times New Roman" w:hAnsi="Verdana"/>
          <w:sz w:val="28"/>
          <w:szCs w:val="28"/>
          <w:lang w:eastAsia="it-IT"/>
        </w:rPr>
        <w:t>, pertanto,</w:t>
      </w:r>
      <w:r w:rsidR="00C268EA" w:rsidRPr="00C268EA">
        <w:rPr>
          <w:rFonts w:ascii="Verdana" w:eastAsia="Times New Roman" w:hAnsi="Verdana"/>
          <w:sz w:val="28"/>
          <w:szCs w:val="28"/>
          <w:lang w:eastAsia="it-IT"/>
        </w:rPr>
        <w:t xml:space="preserve"> gli aumenti delle bollette dell’energia elettrica</w:t>
      </w:r>
      <w:r w:rsidR="00C268EA">
        <w:rPr>
          <w:rFonts w:ascii="Verdana" w:eastAsia="Times New Roman" w:hAnsi="Verdana"/>
          <w:sz w:val="28"/>
          <w:szCs w:val="28"/>
          <w:lang w:eastAsia="it-IT"/>
        </w:rPr>
        <w:t xml:space="preserve"> dovrebbero toccare i 10,2 miliardi di euro (+12,9 per cento)</w:t>
      </w:r>
      <w:r w:rsidR="00744120">
        <w:rPr>
          <w:rFonts w:ascii="Verdana" w:eastAsia="Times New Roman" w:hAnsi="Verdana"/>
          <w:sz w:val="28"/>
          <w:szCs w:val="28"/>
          <w:lang w:eastAsia="it-IT"/>
        </w:rPr>
        <w:t xml:space="preserve">. </w:t>
      </w:r>
      <w:r w:rsidR="00C268EA">
        <w:rPr>
          <w:rFonts w:ascii="Verdana" w:eastAsia="Times New Roman" w:hAnsi="Verdana"/>
          <w:sz w:val="28"/>
          <w:szCs w:val="28"/>
          <w:lang w:eastAsia="it-IT"/>
        </w:rPr>
        <w:t xml:space="preserve">In termini assoluti, l’aggravio </w:t>
      </w:r>
      <w:r w:rsidR="00705BF9">
        <w:rPr>
          <w:rFonts w:ascii="Verdana" w:eastAsia="Times New Roman" w:hAnsi="Verdana"/>
          <w:sz w:val="28"/>
          <w:szCs w:val="28"/>
          <w:lang w:eastAsia="it-IT"/>
        </w:rPr>
        <w:t xml:space="preserve">più importante dovrebbe </w:t>
      </w:r>
      <w:r w:rsidR="00C91550">
        <w:rPr>
          <w:rFonts w:ascii="Verdana" w:eastAsia="Times New Roman" w:hAnsi="Verdana"/>
          <w:sz w:val="28"/>
          <w:szCs w:val="28"/>
          <w:lang w:eastAsia="it-IT"/>
        </w:rPr>
        <w:t>investire</w:t>
      </w:r>
      <w:r w:rsidR="00705BF9">
        <w:rPr>
          <w:rFonts w:ascii="Verdana" w:eastAsia="Times New Roman" w:hAnsi="Verdana"/>
          <w:sz w:val="28"/>
          <w:szCs w:val="28"/>
          <w:lang w:eastAsia="it-IT"/>
        </w:rPr>
        <w:t xml:space="preserve"> la Lombardia con 2,2 miliardi. Seguono il Veneto con poco più di un miliardo e l’Emilia Romagna con 967 milioni di euro (vedi </w:t>
      </w:r>
      <w:proofErr w:type="spellStart"/>
      <w:r w:rsidR="00705BF9">
        <w:rPr>
          <w:rFonts w:ascii="Verdana" w:eastAsia="Times New Roman" w:hAnsi="Verdana"/>
          <w:sz w:val="28"/>
          <w:szCs w:val="28"/>
          <w:lang w:eastAsia="it-IT"/>
        </w:rPr>
        <w:t>Tab</w:t>
      </w:r>
      <w:proofErr w:type="spellEnd"/>
      <w:r w:rsidR="00705BF9">
        <w:rPr>
          <w:rFonts w:ascii="Verdana" w:eastAsia="Times New Roman" w:hAnsi="Verdana"/>
          <w:sz w:val="28"/>
          <w:szCs w:val="28"/>
          <w:lang w:eastAsia="it-IT"/>
        </w:rPr>
        <w:t>. 4).</w:t>
      </w:r>
    </w:p>
    <w:p w:rsidR="00705BF9" w:rsidRPr="00705BF9" w:rsidRDefault="00705BF9" w:rsidP="000111A3">
      <w:pPr>
        <w:spacing w:before="100" w:beforeAutospacing="1" w:after="100" w:afterAutospacing="1" w:line="360" w:lineRule="auto"/>
        <w:jc w:val="both"/>
        <w:rPr>
          <w:rFonts w:ascii="Verdana" w:eastAsia="Times New Roman" w:hAnsi="Verdana"/>
          <w:sz w:val="16"/>
          <w:szCs w:val="16"/>
          <w:lang w:eastAsia="it-IT"/>
        </w:rPr>
      </w:pPr>
    </w:p>
    <w:p w:rsidR="000111A3" w:rsidRDefault="000111A3" w:rsidP="00705BF9">
      <w:pPr>
        <w:pStyle w:val="Paragrafoelenco"/>
        <w:numPr>
          <w:ilvl w:val="0"/>
          <w:numId w:val="13"/>
        </w:numPr>
        <w:spacing w:before="100" w:beforeAutospacing="1" w:after="100" w:afterAutospacing="1" w:line="360" w:lineRule="auto"/>
        <w:jc w:val="both"/>
        <w:rPr>
          <w:rFonts w:ascii="Verdana" w:eastAsia="Times New Roman" w:hAnsi="Verdana"/>
          <w:b/>
          <w:sz w:val="28"/>
          <w:szCs w:val="28"/>
          <w:lang w:eastAsia="it-IT"/>
        </w:rPr>
      </w:pPr>
      <w:r w:rsidRPr="000111A3">
        <w:rPr>
          <w:rFonts w:ascii="Verdana" w:eastAsia="Times New Roman" w:hAnsi="Verdana"/>
          <w:b/>
          <w:sz w:val="28"/>
          <w:szCs w:val="28"/>
          <w:lang w:eastAsia="it-IT"/>
        </w:rPr>
        <w:t xml:space="preserve">Per il gas un extra costo da 5 miliardi </w:t>
      </w:r>
    </w:p>
    <w:p w:rsidR="00705BF9" w:rsidRDefault="00705BF9" w:rsidP="00705BF9">
      <w:pPr>
        <w:spacing w:before="100" w:beforeAutospacing="1" w:after="100" w:afterAutospacing="1" w:line="360" w:lineRule="auto"/>
        <w:jc w:val="both"/>
        <w:rPr>
          <w:rFonts w:ascii="Verdana" w:eastAsia="Times New Roman" w:hAnsi="Verdana"/>
          <w:sz w:val="28"/>
          <w:szCs w:val="28"/>
          <w:lang w:eastAsia="it-IT"/>
        </w:rPr>
      </w:pPr>
      <w:r w:rsidRPr="00705BF9">
        <w:rPr>
          <w:rFonts w:ascii="Verdana" w:eastAsia="Times New Roman" w:hAnsi="Verdana"/>
          <w:sz w:val="28"/>
          <w:szCs w:val="28"/>
          <w:lang w:eastAsia="it-IT"/>
        </w:rPr>
        <w:t xml:space="preserve">Dalle bollette del gas è previsto un prelievo aggiuntivo </w:t>
      </w:r>
      <w:r w:rsidR="006A2899">
        <w:rPr>
          <w:rFonts w:ascii="Verdana" w:eastAsia="Times New Roman" w:hAnsi="Verdana"/>
          <w:sz w:val="28"/>
          <w:szCs w:val="28"/>
          <w:lang w:eastAsia="it-IT"/>
        </w:rPr>
        <w:t xml:space="preserve">a livello nazionale </w:t>
      </w:r>
      <w:r w:rsidRPr="00705BF9">
        <w:rPr>
          <w:rFonts w:ascii="Verdana" w:eastAsia="Times New Roman" w:hAnsi="Verdana"/>
          <w:sz w:val="28"/>
          <w:szCs w:val="28"/>
          <w:lang w:eastAsia="it-IT"/>
        </w:rPr>
        <w:t>di 5 miliardi</w:t>
      </w:r>
      <w:r>
        <w:rPr>
          <w:rFonts w:ascii="Verdana" w:eastAsia="Times New Roman" w:hAnsi="Verdana"/>
          <w:sz w:val="28"/>
          <w:szCs w:val="28"/>
          <w:lang w:eastAsia="it-IT"/>
        </w:rPr>
        <w:t xml:space="preserve"> (+14,6 per cento rispetto al 2025)</w:t>
      </w:r>
      <w:r w:rsidR="006511AD">
        <w:rPr>
          <w:rFonts w:ascii="Verdana" w:eastAsia="Times New Roman" w:hAnsi="Verdana"/>
          <w:sz w:val="28"/>
          <w:szCs w:val="28"/>
          <w:lang w:eastAsia="it-IT"/>
        </w:rPr>
        <w:t>, poiché il prezzo al MWh negli ultimi 5 mesi è schizzato all’insù addirittura del 71,6 per cento</w:t>
      </w:r>
      <w:r w:rsidR="00744120">
        <w:rPr>
          <w:rFonts w:ascii="Verdana" w:eastAsia="Times New Roman" w:hAnsi="Verdana"/>
          <w:sz w:val="28"/>
          <w:szCs w:val="28"/>
          <w:lang w:eastAsia="it-IT"/>
        </w:rPr>
        <w:t>, passando da 32,4 euro al MWh di fine febbraio agli attuali 57 euro (vedi Graf. 2)</w:t>
      </w:r>
      <w:r w:rsidR="006511AD">
        <w:rPr>
          <w:rFonts w:ascii="Verdana" w:eastAsia="Times New Roman" w:hAnsi="Verdana"/>
          <w:sz w:val="28"/>
          <w:szCs w:val="28"/>
          <w:lang w:eastAsia="it-IT"/>
        </w:rPr>
        <w:t xml:space="preserve"> Analizzando il trend </w:t>
      </w:r>
      <w:r w:rsidR="00146070">
        <w:rPr>
          <w:rFonts w:ascii="Verdana" w:eastAsia="Times New Roman" w:hAnsi="Verdana"/>
          <w:sz w:val="28"/>
          <w:szCs w:val="28"/>
          <w:lang w:eastAsia="it-IT"/>
        </w:rPr>
        <w:t xml:space="preserve">in valore assoluto, la Lombardia dovrebbe subire </w:t>
      </w:r>
      <w:r w:rsidR="00585FB5">
        <w:rPr>
          <w:rFonts w:ascii="Verdana" w:eastAsia="Times New Roman" w:hAnsi="Verdana"/>
          <w:sz w:val="28"/>
          <w:szCs w:val="28"/>
          <w:lang w:eastAsia="it-IT"/>
        </w:rPr>
        <w:t xml:space="preserve">un </w:t>
      </w:r>
      <w:r w:rsidR="00DD5B9A">
        <w:rPr>
          <w:rFonts w:ascii="Verdana" w:eastAsia="Times New Roman" w:hAnsi="Verdana"/>
          <w:sz w:val="28"/>
          <w:szCs w:val="28"/>
          <w:lang w:eastAsia="it-IT"/>
        </w:rPr>
        <w:t xml:space="preserve">costo addizionale </w:t>
      </w:r>
      <w:r w:rsidR="00585FB5">
        <w:rPr>
          <w:rFonts w:ascii="Verdana" w:eastAsia="Times New Roman" w:hAnsi="Verdana"/>
          <w:sz w:val="28"/>
          <w:szCs w:val="28"/>
          <w:lang w:eastAsia="it-IT"/>
        </w:rPr>
        <w:t>di 1,2 miliardi</w:t>
      </w:r>
      <w:r w:rsidR="00DD5B9A">
        <w:rPr>
          <w:rFonts w:ascii="Verdana" w:eastAsia="Times New Roman" w:hAnsi="Verdana"/>
          <w:sz w:val="28"/>
          <w:szCs w:val="28"/>
          <w:lang w:eastAsia="it-IT"/>
        </w:rPr>
        <w:t xml:space="preserve">. Seguono sempre l’Emilia Romagna con +710 milioni e il Veneto con +611 milioni (vedi </w:t>
      </w:r>
      <w:proofErr w:type="spellStart"/>
      <w:r w:rsidR="00DD5B9A">
        <w:rPr>
          <w:rFonts w:ascii="Verdana" w:eastAsia="Times New Roman" w:hAnsi="Verdana"/>
          <w:sz w:val="28"/>
          <w:szCs w:val="28"/>
          <w:lang w:eastAsia="it-IT"/>
        </w:rPr>
        <w:t>Tab</w:t>
      </w:r>
      <w:proofErr w:type="spellEnd"/>
      <w:r w:rsidR="00DD5B9A">
        <w:rPr>
          <w:rFonts w:ascii="Verdana" w:eastAsia="Times New Roman" w:hAnsi="Verdana"/>
          <w:sz w:val="28"/>
          <w:szCs w:val="28"/>
          <w:lang w:eastAsia="it-IT"/>
        </w:rPr>
        <w:t xml:space="preserve">. 5). </w:t>
      </w:r>
    </w:p>
    <w:p w:rsidR="006511AD" w:rsidRDefault="006511AD" w:rsidP="00705BF9">
      <w:pPr>
        <w:spacing w:before="100" w:beforeAutospacing="1" w:after="100" w:afterAutospacing="1" w:line="360" w:lineRule="auto"/>
        <w:jc w:val="both"/>
        <w:rPr>
          <w:rFonts w:ascii="Verdana" w:eastAsia="Times New Roman" w:hAnsi="Verdana"/>
          <w:sz w:val="28"/>
          <w:szCs w:val="28"/>
          <w:lang w:eastAsia="it-IT"/>
        </w:rPr>
      </w:pPr>
    </w:p>
    <w:p w:rsidR="00744120" w:rsidRDefault="00744120" w:rsidP="00705BF9">
      <w:pPr>
        <w:spacing w:before="100" w:beforeAutospacing="1" w:after="100" w:afterAutospacing="1" w:line="360" w:lineRule="auto"/>
        <w:jc w:val="both"/>
        <w:rPr>
          <w:rFonts w:ascii="Verdana" w:eastAsia="Times New Roman" w:hAnsi="Verdana"/>
          <w:sz w:val="28"/>
          <w:szCs w:val="28"/>
          <w:lang w:eastAsia="it-IT"/>
        </w:rPr>
      </w:pPr>
    </w:p>
    <w:p w:rsidR="00744120" w:rsidRDefault="00744120" w:rsidP="00705BF9">
      <w:pPr>
        <w:spacing w:before="100" w:beforeAutospacing="1" w:after="100" w:afterAutospacing="1" w:line="360" w:lineRule="auto"/>
        <w:jc w:val="both"/>
        <w:rPr>
          <w:rFonts w:ascii="Verdana" w:eastAsia="Times New Roman" w:hAnsi="Verdana"/>
          <w:sz w:val="28"/>
          <w:szCs w:val="28"/>
          <w:lang w:eastAsia="it-IT"/>
        </w:rPr>
      </w:pPr>
    </w:p>
    <w:p w:rsidR="00CE3FCD" w:rsidRPr="00CE3FCD" w:rsidRDefault="006511AD" w:rsidP="00CE3FCD">
      <w:pPr>
        <w:pStyle w:val="Paragrafoelenco"/>
        <w:numPr>
          <w:ilvl w:val="0"/>
          <w:numId w:val="13"/>
        </w:numPr>
        <w:spacing w:after="0" w:line="360" w:lineRule="auto"/>
        <w:jc w:val="both"/>
        <w:rPr>
          <w:rFonts w:ascii="Verdana" w:hAnsi="Verdana"/>
          <w:b/>
          <w:sz w:val="28"/>
          <w:szCs w:val="28"/>
        </w:rPr>
      </w:pPr>
      <w:r>
        <w:rPr>
          <w:rFonts w:ascii="Verdana" w:hAnsi="Verdana"/>
          <w:b/>
          <w:sz w:val="28"/>
          <w:szCs w:val="28"/>
        </w:rPr>
        <w:lastRenderedPageBreak/>
        <w:t>Fino a ora sostegni per 7 miliardi di euro</w:t>
      </w:r>
      <w:r w:rsidR="001E2C46">
        <w:rPr>
          <w:rFonts w:ascii="Verdana" w:hAnsi="Verdana"/>
          <w:b/>
          <w:sz w:val="28"/>
          <w:szCs w:val="28"/>
        </w:rPr>
        <w:t xml:space="preserve"> e in arrivo ce ne sono altri 7</w:t>
      </w:r>
    </w:p>
    <w:p w:rsidR="006511AD" w:rsidRDefault="00C3124A" w:rsidP="00CE3FCD">
      <w:pPr>
        <w:spacing w:before="100" w:beforeAutospacing="1" w:after="100" w:afterAutospacing="1" w:line="360" w:lineRule="auto"/>
        <w:contextualSpacing/>
        <w:jc w:val="both"/>
        <w:rPr>
          <w:rFonts w:ascii="Verdana" w:hAnsi="Verdana"/>
          <w:sz w:val="28"/>
          <w:szCs w:val="28"/>
        </w:rPr>
      </w:pPr>
      <w:r w:rsidRPr="00C3124A">
        <w:rPr>
          <w:rFonts w:ascii="Verdana" w:hAnsi="Verdana"/>
          <w:sz w:val="28"/>
          <w:szCs w:val="28"/>
        </w:rPr>
        <w:t xml:space="preserve">Da quando è iniziato l'attacco </w:t>
      </w:r>
      <w:r>
        <w:rPr>
          <w:rFonts w:ascii="Verdana" w:hAnsi="Verdana"/>
          <w:sz w:val="28"/>
          <w:szCs w:val="28"/>
        </w:rPr>
        <w:t xml:space="preserve">degli </w:t>
      </w:r>
      <w:r w:rsidRPr="00C3124A">
        <w:rPr>
          <w:rFonts w:ascii="Verdana" w:hAnsi="Verdana"/>
          <w:sz w:val="28"/>
          <w:szCs w:val="28"/>
        </w:rPr>
        <w:t xml:space="preserve">USA all'Iran, il Governo Meloni ha stanziato 7 miliardi di euro a sostegno di famiglie e imprese: 5 per alleggerire i rincari di luce e gas, 2 per tagliare le accise su benzina e diesel. Una cifra non trascurabile, ma che </w:t>
      </w:r>
      <w:r>
        <w:rPr>
          <w:rFonts w:ascii="Verdana" w:hAnsi="Verdana"/>
          <w:sz w:val="28"/>
          <w:szCs w:val="28"/>
        </w:rPr>
        <w:t xml:space="preserve">dovrebbe </w:t>
      </w:r>
      <w:r w:rsidR="00744120">
        <w:rPr>
          <w:rFonts w:ascii="Verdana" w:hAnsi="Verdana"/>
          <w:sz w:val="28"/>
          <w:szCs w:val="28"/>
        </w:rPr>
        <w:t xml:space="preserve">“sterilizzare” </w:t>
      </w:r>
      <w:r w:rsidRPr="00C3124A">
        <w:rPr>
          <w:rFonts w:ascii="Verdana" w:hAnsi="Verdana"/>
          <w:sz w:val="28"/>
          <w:szCs w:val="28"/>
        </w:rPr>
        <w:t xml:space="preserve">solo un quarto circa dei 29 miliardi di aggravio stimato complessivamente. Proprio per questo, il Governo sembra pronto a investire altri 7 miliardi </w:t>
      </w:r>
      <w:r w:rsidR="00744120">
        <w:rPr>
          <w:rFonts w:ascii="Verdana" w:hAnsi="Verdana"/>
          <w:sz w:val="28"/>
          <w:szCs w:val="28"/>
        </w:rPr>
        <w:t xml:space="preserve">di euro </w:t>
      </w:r>
      <w:r>
        <w:rPr>
          <w:rFonts w:ascii="Verdana" w:hAnsi="Verdana"/>
          <w:sz w:val="28"/>
          <w:szCs w:val="28"/>
        </w:rPr>
        <w:t xml:space="preserve">entro </w:t>
      </w:r>
      <w:r w:rsidRPr="00C3124A">
        <w:rPr>
          <w:rFonts w:ascii="Verdana" w:hAnsi="Verdana"/>
          <w:sz w:val="28"/>
          <w:szCs w:val="28"/>
        </w:rPr>
        <w:t>il prossimo autunno contro il caro energia, ancora prima dell'approvazione della Legge di bilancio 2027. Un'operazione possibile solo se l'Unione Europea concederà una clausola di salvaguardia, per sforare temporaneamente il rapporto deficit/Pil senza incorrere in procedure di infrazione.</w:t>
      </w:r>
    </w:p>
    <w:p w:rsidR="00C3124A" w:rsidRDefault="00C3124A" w:rsidP="00CE3FCD">
      <w:pPr>
        <w:spacing w:before="100" w:beforeAutospacing="1" w:after="100" w:afterAutospacing="1" w:line="360" w:lineRule="auto"/>
        <w:contextualSpacing/>
        <w:jc w:val="both"/>
        <w:rPr>
          <w:rFonts w:ascii="Verdana" w:eastAsia="Times New Roman" w:hAnsi="Verdana"/>
          <w:sz w:val="28"/>
          <w:szCs w:val="28"/>
          <w:lang w:eastAsia="it-IT"/>
        </w:rPr>
      </w:pPr>
    </w:p>
    <w:p w:rsidR="007B5AFC" w:rsidRPr="00F956DA" w:rsidRDefault="00F956DA" w:rsidP="00F956DA">
      <w:pPr>
        <w:pStyle w:val="Paragrafoelenco"/>
        <w:numPr>
          <w:ilvl w:val="0"/>
          <w:numId w:val="13"/>
        </w:numPr>
        <w:spacing w:before="100" w:beforeAutospacing="1" w:after="100" w:afterAutospacing="1" w:line="360" w:lineRule="auto"/>
        <w:jc w:val="both"/>
        <w:rPr>
          <w:rFonts w:ascii="Verdana" w:hAnsi="Verdana"/>
          <w:b/>
          <w:sz w:val="28"/>
          <w:szCs w:val="28"/>
        </w:rPr>
      </w:pPr>
      <w:r>
        <w:rPr>
          <w:rFonts w:ascii="Verdana" w:hAnsi="Verdana"/>
          <w:b/>
          <w:sz w:val="28"/>
          <w:szCs w:val="28"/>
        </w:rPr>
        <w:t>Se c’è, l’UE batta un colpo</w:t>
      </w:r>
    </w:p>
    <w:p w:rsidR="00487EF2" w:rsidRDefault="00487EF2" w:rsidP="00487EF2">
      <w:pPr>
        <w:spacing w:before="100" w:beforeAutospacing="1" w:after="100" w:afterAutospacing="1" w:line="360" w:lineRule="auto"/>
        <w:contextualSpacing/>
        <w:jc w:val="both"/>
        <w:rPr>
          <w:rFonts w:ascii="Verdana" w:hAnsi="Verdana"/>
          <w:sz w:val="28"/>
          <w:szCs w:val="28"/>
        </w:rPr>
      </w:pPr>
      <w:r w:rsidRPr="00487EF2">
        <w:rPr>
          <w:rFonts w:ascii="Verdana" w:hAnsi="Verdana"/>
          <w:sz w:val="28"/>
          <w:szCs w:val="28"/>
        </w:rPr>
        <w:t xml:space="preserve">Di fronte a uno scenario così preoccupante, l'Unione Europea sembra essere la grande assente. Un atteggiamento ben diverso da quello adottato dopo l'invasione russa dell'Ucraina. Tra il 2022 e il 2023, infatti, Bruxelles autorizzò anche </w:t>
      </w:r>
      <w:r w:rsidR="00DD48AD">
        <w:rPr>
          <w:rFonts w:ascii="Verdana" w:hAnsi="Verdana"/>
          <w:sz w:val="28"/>
          <w:szCs w:val="28"/>
        </w:rPr>
        <w:t>al</w:t>
      </w:r>
      <w:r w:rsidRPr="00487EF2">
        <w:rPr>
          <w:rFonts w:ascii="Verdana" w:hAnsi="Verdana"/>
          <w:sz w:val="28"/>
          <w:szCs w:val="28"/>
        </w:rPr>
        <w:t xml:space="preserve">l'Italia </w:t>
      </w:r>
      <w:r w:rsidR="00DD48AD">
        <w:rPr>
          <w:rFonts w:ascii="Verdana" w:hAnsi="Verdana"/>
          <w:sz w:val="28"/>
          <w:szCs w:val="28"/>
        </w:rPr>
        <w:t>di</w:t>
      </w:r>
      <w:r w:rsidRPr="00487EF2">
        <w:rPr>
          <w:rFonts w:ascii="Verdana" w:hAnsi="Verdana"/>
          <w:sz w:val="28"/>
          <w:szCs w:val="28"/>
        </w:rPr>
        <w:t xml:space="preserve"> ridurre l'Iva sulle bollette, introdusse un tetto al prezzo del gas per contenerne la volatilità e consentì l'applicazione di un contributo di solidarietà sugli extraprofitti delle grandi multinazionali dell'energia, che anche allora registrarono utili eccezionali. Resta inoltre sul tavolo una misura molto discussa, ma </w:t>
      </w:r>
      <w:r w:rsidRPr="00487EF2">
        <w:rPr>
          <w:rFonts w:ascii="Verdana" w:hAnsi="Verdana"/>
          <w:sz w:val="28"/>
          <w:szCs w:val="28"/>
        </w:rPr>
        <w:lastRenderedPageBreak/>
        <w:t>mai realmente attuata: il disaccoppiamento tra il prezzo del gas e quello dell'energia elettrica, considerato sempre più necessario per rendere il mercato meno vulnerabile a shock di questa portata.</w:t>
      </w:r>
      <w:r>
        <w:rPr>
          <w:rFonts w:ascii="Verdana" w:hAnsi="Verdana"/>
          <w:sz w:val="28"/>
          <w:szCs w:val="28"/>
        </w:rPr>
        <w:t xml:space="preserve"> In attesa che anche Bruxelles batta un colpo, speriamo che ci consenta nel prossimo autunno di mettere in campo altri 7 miliardi </w:t>
      </w:r>
      <w:r w:rsidR="00DD48AD">
        <w:rPr>
          <w:rFonts w:ascii="Verdana" w:hAnsi="Verdana"/>
          <w:sz w:val="28"/>
          <w:szCs w:val="28"/>
        </w:rPr>
        <w:t xml:space="preserve">di euro </w:t>
      </w:r>
      <w:r>
        <w:rPr>
          <w:rFonts w:ascii="Verdana" w:hAnsi="Verdana"/>
          <w:sz w:val="28"/>
          <w:szCs w:val="28"/>
        </w:rPr>
        <w:t xml:space="preserve">contro il caro energia, </w:t>
      </w:r>
      <w:r w:rsidR="00DD48AD">
        <w:rPr>
          <w:rFonts w:ascii="Verdana" w:hAnsi="Verdana"/>
          <w:sz w:val="28"/>
          <w:szCs w:val="28"/>
        </w:rPr>
        <w:t>permettendoci</w:t>
      </w:r>
      <w:r>
        <w:rPr>
          <w:rFonts w:ascii="Verdana" w:hAnsi="Verdana"/>
          <w:sz w:val="28"/>
          <w:szCs w:val="28"/>
        </w:rPr>
        <w:t xml:space="preserve"> di </w:t>
      </w:r>
      <w:r w:rsidR="00DD48AD">
        <w:rPr>
          <w:rFonts w:ascii="Verdana" w:hAnsi="Verdana"/>
          <w:sz w:val="28"/>
          <w:szCs w:val="28"/>
        </w:rPr>
        <w:t>non conteggiare nel rapporto deficit/Pil questa voce di spesa</w:t>
      </w:r>
      <w:r w:rsidRPr="00C3124A">
        <w:rPr>
          <w:rFonts w:ascii="Verdana" w:hAnsi="Verdana"/>
          <w:sz w:val="28"/>
          <w:szCs w:val="28"/>
        </w:rPr>
        <w:t>.</w:t>
      </w:r>
    </w:p>
    <w:p w:rsidR="00487EF2" w:rsidRDefault="00487EF2"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Default="009739BA" w:rsidP="00487EF2">
      <w:pPr>
        <w:spacing w:before="100" w:beforeAutospacing="1" w:after="100" w:afterAutospacing="1" w:line="360" w:lineRule="auto"/>
        <w:contextualSpacing/>
        <w:jc w:val="both"/>
        <w:rPr>
          <w:rFonts w:ascii="Verdana" w:eastAsia="Times New Roman" w:hAnsi="Verdana"/>
          <w:sz w:val="28"/>
          <w:szCs w:val="28"/>
          <w:lang w:eastAsia="it-IT"/>
        </w:rPr>
      </w:pPr>
    </w:p>
    <w:p w:rsidR="009739BA" w:rsidRPr="002B300B" w:rsidRDefault="009739BA" w:rsidP="009739BA">
      <w:pPr>
        <w:spacing w:after="0"/>
        <w:jc w:val="center"/>
        <w:rPr>
          <w:rFonts w:ascii="Verdana" w:hAnsi="Verdana"/>
          <w:b/>
          <w:sz w:val="21"/>
          <w:szCs w:val="21"/>
        </w:rPr>
      </w:pPr>
      <w:proofErr w:type="spellStart"/>
      <w:r>
        <w:rPr>
          <w:rFonts w:ascii="Verdana" w:hAnsi="Verdana"/>
          <w:b/>
          <w:sz w:val="21"/>
          <w:szCs w:val="21"/>
        </w:rPr>
        <w:lastRenderedPageBreak/>
        <w:t>Tab</w:t>
      </w:r>
      <w:proofErr w:type="spellEnd"/>
      <w:r>
        <w:rPr>
          <w:rFonts w:ascii="Verdana" w:hAnsi="Verdana"/>
          <w:b/>
          <w:sz w:val="21"/>
          <w:szCs w:val="21"/>
        </w:rPr>
        <w:t xml:space="preserve">. 1 – </w:t>
      </w:r>
      <w:r w:rsidRPr="008455CF">
        <w:rPr>
          <w:rFonts w:ascii="Verdana" w:hAnsi="Verdana"/>
          <w:b/>
          <w:sz w:val="21"/>
          <w:szCs w:val="21"/>
        </w:rPr>
        <w:t xml:space="preserve">Stima </w:t>
      </w:r>
      <w:r>
        <w:rPr>
          <w:rFonts w:ascii="Verdana" w:hAnsi="Verdana"/>
          <w:b/>
          <w:sz w:val="21"/>
          <w:szCs w:val="21"/>
        </w:rPr>
        <w:t xml:space="preserve">rincari ENERGETICI scatenati dalla guerra per </w:t>
      </w:r>
      <w:r>
        <w:rPr>
          <w:rFonts w:ascii="Verdana" w:hAnsi="Verdana"/>
          <w:b/>
          <w:sz w:val="21"/>
          <w:szCs w:val="21"/>
          <w:u w:val="single"/>
        </w:rPr>
        <w:t>IMPRESE e FAMIGLIE</w:t>
      </w:r>
      <w:r w:rsidRPr="004A2842">
        <w:rPr>
          <w:rFonts w:ascii="Verdana" w:hAnsi="Verdana"/>
          <w:b/>
          <w:sz w:val="21"/>
          <w:szCs w:val="21"/>
        </w:rPr>
        <w:t xml:space="preserve"> </w:t>
      </w:r>
    </w:p>
    <w:p w:rsidR="009739BA" w:rsidRDefault="009739BA" w:rsidP="009739BA">
      <w:pPr>
        <w:spacing w:after="0"/>
        <w:jc w:val="center"/>
        <w:rPr>
          <w:rFonts w:ascii="Verdana" w:hAnsi="Verdana"/>
          <w:sz w:val="20"/>
          <w:szCs w:val="21"/>
        </w:rPr>
      </w:pPr>
      <w:r w:rsidRPr="008455CF">
        <w:rPr>
          <w:rFonts w:ascii="Verdana" w:hAnsi="Verdana"/>
          <w:sz w:val="20"/>
          <w:szCs w:val="21"/>
        </w:rPr>
        <w:t>Valori in milioni di euro</w:t>
      </w:r>
      <w:r>
        <w:rPr>
          <w:rFonts w:ascii="Verdana" w:hAnsi="Verdana"/>
          <w:sz w:val="20"/>
          <w:szCs w:val="21"/>
        </w:rPr>
        <w:t xml:space="preserve"> e </w:t>
      </w:r>
      <w:proofErr w:type="spellStart"/>
      <w:r>
        <w:rPr>
          <w:rFonts w:ascii="Verdana" w:hAnsi="Verdana"/>
          <w:sz w:val="20"/>
          <w:szCs w:val="21"/>
        </w:rPr>
        <w:t>var</w:t>
      </w:r>
      <w:proofErr w:type="spellEnd"/>
      <w:r>
        <w:rPr>
          <w:rFonts w:ascii="Verdana" w:hAnsi="Verdana"/>
          <w:sz w:val="20"/>
          <w:szCs w:val="21"/>
        </w:rPr>
        <w:t>. %</w:t>
      </w:r>
    </w:p>
    <w:tbl>
      <w:tblPr>
        <w:tblW w:w="9620" w:type="dxa"/>
        <w:tblInd w:w="70" w:type="dxa"/>
        <w:tblCellMar>
          <w:left w:w="70" w:type="dxa"/>
          <w:right w:w="70" w:type="dxa"/>
        </w:tblCellMar>
        <w:tblLook w:val="04A0" w:firstRow="1" w:lastRow="0" w:firstColumn="1" w:lastColumn="0" w:noHBand="0" w:noVBand="1"/>
      </w:tblPr>
      <w:tblGrid>
        <w:gridCol w:w="3700"/>
        <w:gridCol w:w="1480"/>
        <w:gridCol w:w="1480"/>
        <w:gridCol w:w="1480"/>
        <w:gridCol w:w="1480"/>
      </w:tblGrid>
      <w:tr w:rsidR="009739BA" w:rsidRPr="00A22FE0" w:rsidTr="009739BA">
        <w:trPr>
          <w:trHeight w:val="720"/>
        </w:trPr>
        <w:tc>
          <w:tcPr>
            <w:tcW w:w="3700" w:type="dxa"/>
            <w:tcBorders>
              <w:top w:val="single" w:sz="4" w:space="0" w:color="auto"/>
              <w:left w:val="nil"/>
              <w:bottom w:val="single" w:sz="4" w:space="0" w:color="auto"/>
              <w:right w:val="nil"/>
            </w:tcBorders>
            <w:shd w:val="clear" w:color="auto" w:fill="0000FF"/>
            <w:noWrap/>
            <w:vAlign w:val="center"/>
            <w:hideMark/>
          </w:tcPr>
          <w:p w:rsidR="009739BA" w:rsidRPr="00A22FE0" w:rsidRDefault="009739BA" w:rsidP="000238F3">
            <w:pPr>
              <w:spacing w:after="0" w:line="240" w:lineRule="auto"/>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 </w:t>
            </w:r>
          </w:p>
        </w:tc>
        <w:tc>
          <w:tcPr>
            <w:tcW w:w="1480" w:type="dxa"/>
            <w:tcBorders>
              <w:top w:val="single" w:sz="4" w:space="0" w:color="auto"/>
              <w:left w:val="single" w:sz="4" w:space="0" w:color="FFFFFF"/>
              <w:bottom w:val="single" w:sz="4" w:space="0" w:color="auto"/>
              <w:right w:val="nil"/>
            </w:tcBorders>
            <w:shd w:val="clear" w:color="auto" w:fill="0000FF"/>
            <w:noWrap/>
            <w:vAlign w:val="center"/>
            <w:hideMark/>
          </w:tcPr>
          <w:p w:rsidR="009739BA" w:rsidRPr="00A22FE0" w:rsidRDefault="009739BA" w:rsidP="000238F3">
            <w:pPr>
              <w:spacing w:after="0" w:line="240" w:lineRule="auto"/>
              <w:jc w:val="center"/>
              <w:rPr>
                <w:rFonts w:ascii="Tahoma" w:eastAsia="Times New Roman" w:hAnsi="Tahoma" w:cs="Tahoma"/>
                <w:b/>
                <w:bCs/>
                <w:color w:val="FFFFFF"/>
                <w:sz w:val="20"/>
                <w:szCs w:val="20"/>
                <w:lang w:eastAsia="it-IT"/>
              </w:rPr>
            </w:pPr>
            <w:r w:rsidRPr="00A22FE0">
              <w:rPr>
                <w:rFonts w:ascii="Tahoma" w:eastAsia="Times New Roman" w:hAnsi="Tahoma" w:cs="Tahoma"/>
                <w:b/>
                <w:bCs/>
                <w:color w:val="FFFFFF"/>
                <w:sz w:val="20"/>
                <w:szCs w:val="20"/>
                <w:lang w:eastAsia="it-IT"/>
              </w:rPr>
              <w:t>2025</w:t>
            </w:r>
          </w:p>
        </w:tc>
        <w:tc>
          <w:tcPr>
            <w:tcW w:w="1480" w:type="dxa"/>
            <w:tcBorders>
              <w:top w:val="single" w:sz="4" w:space="0" w:color="auto"/>
              <w:left w:val="nil"/>
              <w:bottom w:val="single" w:sz="4" w:space="0" w:color="auto"/>
              <w:right w:val="single" w:sz="4" w:space="0" w:color="FFFFFF"/>
            </w:tcBorders>
            <w:shd w:val="clear" w:color="auto" w:fill="0000FF"/>
            <w:noWrap/>
            <w:vAlign w:val="center"/>
            <w:hideMark/>
          </w:tcPr>
          <w:p w:rsidR="009739BA" w:rsidRPr="00A22FE0" w:rsidRDefault="009739BA" w:rsidP="000238F3">
            <w:pPr>
              <w:spacing w:after="0" w:line="240" w:lineRule="auto"/>
              <w:jc w:val="center"/>
              <w:rPr>
                <w:rFonts w:ascii="Tahoma" w:eastAsia="Times New Roman" w:hAnsi="Tahoma" w:cs="Tahoma"/>
                <w:b/>
                <w:bCs/>
                <w:color w:val="FFFFFF"/>
                <w:sz w:val="20"/>
                <w:szCs w:val="20"/>
                <w:lang w:eastAsia="it-IT"/>
              </w:rPr>
            </w:pPr>
            <w:r w:rsidRPr="00A22FE0">
              <w:rPr>
                <w:rFonts w:ascii="Tahoma" w:eastAsia="Times New Roman" w:hAnsi="Tahoma" w:cs="Tahoma"/>
                <w:b/>
                <w:bCs/>
                <w:color w:val="FFFFFF"/>
                <w:sz w:val="20"/>
                <w:szCs w:val="20"/>
                <w:lang w:eastAsia="it-IT"/>
              </w:rPr>
              <w:t>2026</w:t>
            </w:r>
          </w:p>
        </w:tc>
        <w:tc>
          <w:tcPr>
            <w:tcW w:w="1480" w:type="dxa"/>
            <w:tcBorders>
              <w:top w:val="single" w:sz="4" w:space="0" w:color="auto"/>
              <w:left w:val="nil"/>
              <w:bottom w:val="single" w:sz="4" w:space="0" w:color="auto"/>
              <w:right w:val="nil"/>
            </w:tcBorders>
            <w:shd w:val="clear" w:color="auto" w:fill="0000FF"/>
            <w:vAlign w:val="center"/>
            <w:hideMark/>
          </w:tcPr>
          <w:p w:rsidR="009739BA" w:rsidRPr="00A22FE0" w:rsidRDefault="009739BA" w:rsidP="000238F3">
            <w:pPr>
              <w:spacing w:after="0" w:line="240" w:lineRule="auto"/>
              <w:jc w:val="center"/>
              <w:rPr>
                <w:rFonts w:ascii="Tahoma" w:eastAsia="Times New Roman" w:hAnsi="Tahoma" w:cs="Tahoma"/>
                <w:b/>
                <w:bCs/>
                <w:color w:val="FFFFFF"/>
                <w:sz w:val="20"/>
                <w:szCs w:val="20"/>
                <w:lang w:eastAsia="it-IT"/>
              </w:rPr>
            </w:pPr>
            <w:proofErr w:type="spellStart"/>
            <w:r w:rsidRPr="00A22FE0">
              <w:rPr>
                <w:rFonts w:ascii="Tahoma" w:eastAsia="Times New Roman" w:hAnsi="Tahoma" w:cs="Tahoma"/>
                <w:b/>
                <w:bCs/>
                <w:color w:val="FFFFFF"/>
                <w:sz w:val="20"/>
                <w:szCs w:val="20"/>
                <w:lang w:eastAsia="it-IT"/>
              </w:rPr>
              <w:t>Var</w:t>
            </w:r>
            <w:proofErr w:type="spellEnd"/>
            <w:r w:rsidRPr="00A22FE0">
              <w:rPr>
                <w:rFonts w:ascii="Tahoma" w:eastAsia="Times New Roman" w:hAnsi="Tahoma" w:cs="Tahoma"/>
                <w:b/>
                <w:bCs/>
                <w:color w:val="FFFFFF"/>
                <w:sz w:val="20"/>
                <w:szCs w:val="20"/>
                <w:lang w:eastAsia="it-IT"/>
              </w:rPr>
              <w:t xml:space="preserve">. </w:t>
            </w:r>
            <w:proofErr w:type="spellStart"/>
            <w:r w:rsidRPr="00A22FE0">
              <w:rPr>
                <w:rFonts w:ascii="Tahoma" w:eastAsia="Times New Roman" w:hAnsi="Tahoma" w:cs="Tahoma"/>
                <w:b/>
                <w:bCs/>
                <w:color w:val="FFFFFF"/>
                <w:sz w:val="20"/>
                <w:szCs w:val="20"/>
                <w:lang w:eastAsia="it-IT"/>
              </w:rPr>
              <w:t>ass</w:t>
            </w:r>
            <w:proofErr w:type="spellEnd"/>
            <w:r w:rsidRPr="00A22FE0">
              <w:rPr>
                <w:rFonts w:ascii="Tahoma" w:eastAsia="Times New Roman" w:hAnsi="Tahoma" w:cs="Tahoma"/>
                <w:b/>
                <w:bCs/>
                <w:color w:val="FFFFFF"/>
                <w:sz w:val="20"/>
                <w:szCs w:val="20"/>
                <w:lang w:eastAsia="it-IT"/>
              </w:rPr>
              <w:t>.</w:t>
            </w:r>
            <w:r w:rsidRPr="00A22FE0">
              <w:rPr>
                <w:rFonts w:ascii="Tahoma" w:eastAsia="Times New Roman" w:hAnsi="Tahoma" w:cs="Tahoma"/>
                <w:b/>
                <w:bCs/>
                <w:color w:val="FFFFFF"/>
                <w:sz w:val="20"/>
                <w:szCs w:val="20"/>
                <w:lang w:eastAsia="it-IT"/>
              </w:rPr>
              <w:br/>
              <w:t>2026-2025</w:t>
            </w:r>
          </w:p>
        </w:tc>
        <w:tc>
          <w:tcPr>
            <w:tcW w:w="1480" w:type="dxa"/>
            <w:tcBorders>
              <w:top w:val="single" w:sz="4" w:space="0" w:color="auto"/>
              <w:left w:val="nil"/>
              <w:bottom w:val="single" w:sz="4" w:space="0" w:color="auto"/>
              <w:right w:val="nil"/>
            </w:tcBorders>
            <w:shd w:val="clear" w:color="auto" w:fill="0000FF"/>
            <w:vAlign w:val="center"/>
            <w:hideMark/>
          </w:tcPr>
          <w:p w:rsidR="009739BA" w:rsidRPr="00A22FE0" w:rsidRDefault="009739BA" w:rsidP="000238F3">
            <w:pPr>
              <w:spacing w:after="0" w:line="240" w:lineRule="auto"/>
              <w:jc w:val="center"/>
              <w:rPr>
                <w:rFonts w:ascii="Tahoma" w:eastAsia="Times New Roman" w:hAnsi="Tahoma" w:cs="Tahoma"/>
                <w:b/>
                <w:bCs/>
                <w:color w:val="FFFFFF"/>
                <w:sz w:val="20"/>
                <w:szCs w:val="20"/>
                <w:lang w:eastAsia="it-IT"/>
              </w:rPr>
            </w:pPr>
            <w:proofErr w:type="spellStart"/>
            <w:r w:rsidRPr="00A22FE0">
              <w:rPr>
                <w:rFonts w:ascii="Tahoma" w:eastAsia="Times New Roman" w:hAnsi="Tahoma" w:cs="Tahoma"/>
                <w:b/>
                <w:bCs/>
                <w:color w:val="FFFFFF"/>
                <w:sz w:val="20"/>
                <w:szCs w:val="20"/>
                <w:lang w:eastAsia="it-IT"/>
              </w:rPr>
              <w:t>Var</w:t>
            </w:r>
            <w:proofErr w:type="spellEnd"/>
            <w:r w:rsidRPr="00A22FE0">
              <w:rPr>
                <w:rFonts w:ascii="Tahoma" w:eastAsia="Times New Roman" w:hAnsi="Tahoma" w:cs="Tahoma"/>
                <w:b/>
                <w:bCs/>
                <w:color w:val="FFFFFF"/>
                <w:sz w:val="20"/>
                <w:szCs w:val="20"/>
                <w:lang w:eastAsia="it-IT"/>
              </w:rPr>
              <w:t>. %</w:t>
            </w:r>
            <w:r w:rsidRPr="00A22FE0">
              <w:rPr>
                <w:rFonts w:ascii="Tahoma" w:eastAsia="Times New Roman" w:hAnsi="Tahoma" w:cs="Tahoma"/>
                <w:b/>
                <w:bCs/>
                <w:color w:val="FFFFFF"/>
                <w:sz w:val="20"/>
                <w:szCs w:val="20"/>
                <w:lang w:eastAsia="it-IT"/>
              </w:rPr>
              <w:br/>
              <w:t>2026/2025</w:t>
            </w:r>
          </w:p>
        </w:tc>
      </w:tr>
      <w:tr w:rsidR="009739BA" w:rsidRPr="00A22FE0" w:rsidTr="000238F3">
        <w:trPr>
          <w:trHeight w:val="720"/>
        </w:trPr>
        <w:tc>
          <w:tcPr>
            <w:tcW w:w="3700" w:type="dxa"/>
            <w:tcBorders>
              <w:top w:val="nil"/>
              <w:left w:val="nil"/>
              <w:bottom w:val="nil"/>
              <w:right w:val="nil"/>
            </w:tcBorders>
            <w:noWrap/>
            <w:vAlign w:val="center"/>
            <w:hideMark/>
          </w:tcPr>
          <w:p w:rsidR="009739BA" w:rsidRPr="00A22FE0" w:rsidRDefault="009739BA" w:rsidP="000238F3">
            <w:pPr>
              <w:spacing w:after="0" w:line="240" w:lineRule="auto"/>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BENZINA e GASOLIO</w:t>
            </w:r>
            <w:r>
              <w:rPr>
                <w:rFonts w:ascii="Tahoma" w:eastAsia="Times New Roman" w:hAnsi="Tahoma" w:cs="Tahoma"/>
                <w:color w:val="000000"/>
                <w:sz w:val="20"/>
                <w:szCs w:val="20"/>
                <w:lang w:eastAsia="it-IT"/>
              </w:rPr>
              <w:t xml:space="preserve"> (*)</w:t>
            </w:r>
          </w:p>
        </w:tc>
        <w:tc>
          <w:tcPr>
            <w:tcW w:w="1480" w:type="dxa"/>
            <w:tcBorders>
              <w:top w:val="nil"/>
              <w:left w:val="single" w:sz="4" w:space="0" w:color="auto"/>
              <w:bottom w:val="nil"/>
              <w:right w:val="nil"/>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66.919</w:t>
            </w:r>
          </w:p>
        </w:tc>
        <w:tc>
          <w:tcPr>
            <w:tcW w:w="1480" w:type="dxa"/>
            <w:tcBorders>
              <w:top w:val="nil"/>
              <w:left w:val="nil"/>
              <w:bottom w:val="nil"/>
              <w:right w:val="single" w:sz="4" w:space="0" w:color="auto"/>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80.575</w:t>
            </w:r>
          </w:p>
        </w:tc>
        <w:tc>
          <w:tcPr>
            <w:tcW w:w="1480" w:type="dxa"/>
            <w:tcBorders>
              <w:top w:val="nil"/>
              <w:left w:val="nil"/>
              <w:bottom w:val="nil"/>
              <w:right w:val="nil"/>
            </w:tcBorders>
            <w:shd w:val="clear" w:color="auto" w:fill="FFFF00"/>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+13.657</w:t>
            </w:r>
          </w:p>
        </w:tc>
        <w:tc>
          <w:tcPr>
            <w:tcW w:w="1480" w:type="dxa"/>
            <w:tcBorders>
              <w:top w:val="nil"/>
              <w:left w:val="nil"/>
              <w:bottom w:val="nil"/>
              <w:right w:val="nil"/>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+20,4</w:t>
            </w:r>
          </w:p>
        </w:tc>
      </w:tr>
      <w:tr w:rsidR="009739BA" w:rsidRPr="00A22FE0" w:rsidTr="000238F3">
        <w:trPr>
          <w:trHeight w:val="720"/>
        </w:trPr>
        <w:tc>
          <w:tcPr>
            <w:tcW w:w="3700" w:type="dxa"/>
            <w:tcBorders>
              <w:top w:val="nil"/>
              <w:left w:val="nil"/>
              <w:bottom w:val="nil"/>
              <w:right w:val="nil"/>
            </w:tcBorders>
            <w:noWrap/>
            <w:vAlign w:val="center"/>
            <w:hideMark/>
          </w:tcPr>
          <w:p w:rsidR="009739BA" w:rsidRPr="00A22FE0" w:rsidRDefault="009739BA" w:rsidP="000238F3">
            <w:pPr>
              <w:spacing w:after="0" w:line="240" w:lineRule="auto"/>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ENERGIA ELETTRICA</w:t>
            </w:r>
            <w:r>
              <w:rPr>
                <w:rFonts w:ascii="Tahoma" w:eastAsia="Times New Roman" w:hAnsi="Tahoma" w:cs="Tahoma"/>
                <w:color w:val="000000"/>
                <w:sz w:val="20"/>
                <w:szCs w:val="20"/>
                <w:lang w:eastAsia="it-IT"/>
              </w:rPr>
              <w:t xml:space="preserve"> (**)</w:t>
            </w:r>
          </w:p>
        </w:tc>
        <w:tc>
          <w:tcPr>
            <w:tcW w:w="1480" w:type="dxa"/>
            <w:tcBorders>
              <w:top w:val="nil"/>
              <w:left w:val="single" w:sz="4" w:space="0" w:color="auto"/>
              <w:bottom w:val="nil"/>
              <w:right w:val="nil"/>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79.395</w:t>
            </w:r>
          </w:p>
        </w:tc>
        <w:tc>
          <w:tcPr>
            <w:tcW w:w="1480" w:type="dxa"/>
            <w:tcBorders>
              <w:top w:val="nil"/>
              <w:left w:val="nil"/>
              <w:bottom w:val="nil"/>
              <w:right w:val="single" w:sz="4" w:space="0" w:color="auto"/>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89.619</w:t>
            </w:r>
          </w:p>
        </w:tc>
        <w:tc>
          <w:tcPr>
            <w:tcW w:w="1480" w:type="dxa"/>
            <w:tcBorders>
              <w:top w:val="nil"/>
              <w:left w:val="nil"/>
              <w:bottom w:val="nil"/>
              <w:right w:val="nil"/>
            </w:tcBorders>
            <w:shd w:val="clear" w:color="auto" w:fill="FFFF00"/>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+10.224</w:t>
            </w:r>
          </w:p>
        </w:tc>
        <w:tc>
          <w:tcPr>
            <w:tcW w:w="1480" w:type="dxa"/>
            <w:tcBorders>
              <w:top w:val="nil"/>
              <w:left w:val="nil"/>
              <w:bottom w:val="nil"/>
              <w:right w:val="nil"/>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+12,9</w:t>
            </w:r>
          </w:p>
        </w:tc>
      </w:tr>
      <w:tr w:rsidR="009739BA" w:rsidRPr="00A22FE0" w:rsidTr="000238F3">
        <w:trPr>
          <w:trHeight w:val="720"/>
        </w:trPr>
        <w:tc>
          <w:tcPr>
            <w:tcW w:w="3700" w:type="dxa"/>
            <w:tcBorders>
              <w:top w:val="nil"/>
              <w:left w:val="nil"/>
              <w:bottom w:val="single" w:sz="4" w:space="0" w:color="auto"/>
              <w:right w:val="nil"/>
            </w:tcBorders>
            <w:noWrap/>
            <w:vAlign w:val="center"/>
            <w:hideMark/>
          </w:tcPr>
          <w:p w:rsidR="009739BA" w:rsidRPr="00A22FE0" w:rsidRDefault="009739BA" w:rsidP="000238F3">
            <w:pPr>
              <w:spacing w:after="0" w:line="240" w:lineRule="auto"/>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GAS</w:t>
            </w:r>
            <w:r>
              <w:rPr>
                <w:rFonts w:ascii="Tahoma" w:eastAsia="Times New Roman" w:hAnsi="Tahoma" w:cs="Tahoma"/>
                <w:color w:val="000000"/>
                <w:sz w:val="20"/>
                <w:szCs w:val="20"/>
                <w:lang w:eastAsia="it-IT"/>
              </w:rPr>
              <w:t xml:space="preserve"> (**)</w:t>
            </w:r>
          </w:p>
        </w:tc>
        <w:tc>
          <w:tcPr>
            <w:tcW w:w="1480" w:type="dxa"/>
            <w:tcBorders>
              <w:top w:val="nil"/>
              <w:left w:val="single" w:sz="4" w:space="0" w:color="auto"/>
              <w:bottom w:val="single" w:sz="4" w:space="0" w:color="auto"/>
              <w:right w:val="nil"/>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34.402</w:t>
            </w:r>
          </w:p>
        </w:tc>
        <w:tc>
          <w:tcPr>
            <w:tcW w:w="1480" w:type="dxa"/>
            <w:tcBorders>
              <w:top w:val="nil"/>
              <w:left w:val="nil"/>
              <w:bottom w:val="single" w:sz="4" w:space="0" w:color="auto"/>
              <w:right w:val="single" w:sz="4" w:space="0" w:color="auto"/>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39.435</w:t>
            </w:r>
          </w:p>
        </w:tc>
        <w:tc>
          <w:tcPr>
            <w:tcW w:w="1480" w:type="dxa"/>
            <w:tcBorders>
              <w:top w:val="nil"/>
              <w:left w:val="nil"/>
              <w:bottom w:val="single" w:sz="4" w:space="0" w:color="auto"/>
              <w:right w:val="nil"/>
            </w:tcBorders>
            <w:shd w:val="clear" w:color="auto" w:fill="FFFF00"/>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+5.032</w:t>
            </w:r>
          </w:p>
        </w:tc>
        <w:tc>
          <w:tcPr>
            <w:tcW w:w="1480" w:type="dxa"/>
            <w:tcBorders>
              <w:top w:val="nil"/>
              <w:left w:val="nil"/>
              <w:bottom w:val="single" w:sz="4" w:space="0" w:color="auto"/>
              <w:right w:val="nil"/>
            </w:tcBorders>
            <w:noWrap/>
            <w:vAlign w:val="center"/>
            <w:hideMark/>
          </w:tcPr>
          <w:p w:rsidR="009739BA" w:rsidRPr="00A22FE0" w:rsidRDefault="009739BA" w:rsidP="000238F3">
            <w:pPr>
              <w:spacing w:after="0" w:line="240" w:lineRule="auto"/>
              <w:jc w:val="center"/>
              <w:rPr>
                <w:rFonts w:ascii="Tahoma" w:eastAsia="Times New Roman" w:hAnsi="Tahoma" w:cs="Tahoma"/>
                <w:color w:val="000000"/>
                <w:sz w:val="20"/>
                <w:szCs w:val="20"/>
                <w:lang w:eastAsia="it-IT"/>
              </w:rPr>
            </w:pPr>
            <w:r w:rsidRPr="00A22FE0">
              <w:rPr>
                <w:rFonts w:ascii="Tahoma" w:eastAsia="Times New Roman" w:hAnsi="Tahoma" w:cs="Tahoma"/>
                <w:color w:val="000000"/>
                <w:sz w:val="20"/>
                <w:szCs w:val="20"/>
                <w:lang w:eastAsia="it-IT"/>
              </w:rPr>
              <w:t>+14,6</w:t>
            </w:r>
          </w:p>
        </w:tc>
      </w:tr>
      <w:tr w:rsidR="009739BA" w:rsidRPr="00A22FE0" w:rsidTr="000238F3">
        <w:trPr>
          <w:trHeight w:val="771"/>
        </w:trPr>
        <w:tc>
          <w:tcPr>
            <w:tcW w:w="3700" w:type="dxa"/>
            <w:tcBorders>
              <w:top w:val="nil"/>
              <w:left w:val="nil"/>
              <w:bottom w:val="single" w:sz="4" w:space="0" w:color="auto"/>
              <w:right w:val="nil"/>
            </w:tcBorders>
            <w:shd w:val="clear" w:color="auto" w:fill="EE0000"/>
            <w:vAlign w:val="center"/>
            <w:hideMark/>
          </w:tcPr>
          <w:p w:rsidR="009739BA" w:rsidRPr="00B32F4B" w:rsidRDefault="009739BA" w:rsidP="000238F3">
            <w:pPr>
              <w:spacing w:after="0" w:line="240" w:lineRule="auto"/>
              <w:rPr>
                <w:rFonts w:ascii="Tahoma" w:eastAsia="Times New Roman" w:hAnsi="Tahoma" w:cs="Tahoma"/>
                <w:b/>
                <w:bCs/>
                <w:color w:val="FFFFFF" w:themeColor="background1"/>
                <w:sz w:val="20"/>
                <w:szCs w:val="20"/>
                <w:lang w:eastAsia="it-IT"/>
              </w:rPr>
            </w:pPr>
            <w:r w:rsidRPr="00B32F4B">
              <w:rPr>
                <w:rFonts w:ascii="Tahoma" w:eastAsia="Times New Roman" w:hAnsi="Tahoma" w:cs="Tahoma"/>
                <w:b/>
                <w:bCs/>
                <w:color w:val="FFFFFF" w:themeColor="background1"/>
                <w:sz w:val="20"/>
                <w:szCs w:val="20"/>
                <w:lang w:eastAsia="it-IT"/>
              </w:rPr>
              <w:t>TOTALE SPESE "ENERGETICHE"</w:t>
            </w:r>
          </w:p>
        </w:tc>
        <w:tc>
          <w:tcPr>
            <w:tcW w:w="1480" w:type="dxa"/>
            <w:tcBorders>
              <w:top w:val="nil"/>
              <w:left w:val="single" w:sz="4" w:space="0" w:color="FFFFFF"/>
              <w:bottom w:val="single" w:sz="4" w:space="0" w:color="auto"/>
              <w:right w:val="nil"/>
            </w:tcBorders>
            <w:shd w:val="clear" w:color="auto" w:fill="EE0000"/>
            <w:noWrap/>
            <w:vAlign w:val="center"/>
            <w:hideMark/>
          </w:tcPr>
          <w:p w:rsidR="009739BA" w:rsidRPr="00B32F4B" w:rsidRDefault="009739BA" w:rsidP="000238F3">
            <w:pPr>
              <w:spacing w:after="0" w:line="240" w:lineRule="auto"/>
              <w:jc w:val="center"/>
              <w:rPr>
                <w:rFonts w:ascii="Tahoma" w:eastAsia="Times New Roman" w:hAnsi="Tahoma" w:cs="Tahoma"/>
                <w:b/>
                <w:bCs/>
                <w:color w:val="FFFFFF" w:themeColor="background1"/>
                <w:sz w:val="20"/>
                <w:szCs w:val="20"/>
                <w:lang w:eastAsia="it-IT"/>
              </w:rPr>
            </w:pPr>
            <w:r w:rsidRPr="00B32F4B">
              <w:rPr>
                <w:rFonts w:ascii="Tahoma" w:eastAsia="Times New Roman" w:hAnsi="Tahoma" w:cs="Tahoma"/>
                <w:b/>
                <w:bCs/>
                <w:color w:val="FFFFFF" w:themeColor="background1"/>
                <w:sz w:val="20"/>
                <w:szCs w:val="20"/>
                <w:lang w:eastAsia="it-IT"/>
              </w:rPr>
              <w:t>180.716</w:t>
            </w:r>
          </w:p>
        </w:tc>
        <w:tc>
          <w:tcPr>
            <w:tcW w:w="1480" w:type="dxa"/>
            <w:tcBorders>
              <w:top w:val="nil"/>
              <w:left w:val="nil"/>
              <w:bottom w:val="single" w:sz="4" w:space="0" w:color="auto"/>
              <w:right w:val="single" w:sz="4" w:space="0" w:color="FFFFFF"/>
            </w:tcBorders>
            <w:shd w:val="clear" w:color="auto" w:fill="EE0000"/>
            <w:noWrap/>
            <w:vAlign w:val="center"/>
            <w:hideMark/>
          </w:tcPr>
          <w:p w:rsidR="009739BA" w:rsidRPr="00B32F4B" w:rsidRDefault="009739BA" w:rsidP="000238F3">
            <w:pPr>
              <w:spacing w:after="0" w:line="240" w:lineRule="auto"/>
              <w:jc w:val="center"/>
              <w:rPr>
                <w:rFonts w:ascii="Tahoma" w:eastAsia="Times New Roman" w:hAnsi="Tahoma" w:cs="Tahoma"/>
                <w:b/>
                <w:bCs/>
                <w:color w:val="FFFFFF" w:themeColor="background1"/>
                <w:sz w:val="20"/>
                <w:szCs w:val="20"/>
                <w:lang w:eastAsia="it-IT"/>
              </w:rPr>
            </w:pPr>
            <w:r w:rsidRPr="00B32F4B">
              <w:rPr>
                <w:rFonts w:ascii="Tahoma" w:eastAsia="Times New Roman" w:hAnsi="Tahoma" w:cs="Tahoma"/>
                <w:b/>
                <w:bCs/>
                <w:color w:val="FFFFFF" w:themeColor="background1"/>
                <w:sz w:val="20"/>
                <w:szCs w:val="20"/>
                <w:lang w:eastAsia="it-IT"/>
              </w:rPr>
              <w:t>209.629</w:t>
            </w:r>
          </w:p>
        </w:tc>
        <w:tc>
          <w:tcPr>
            <w:tcW w:w="1480" w:type="dxa"/>
            <w:tcBorders>
              <w:top w:val="nil"/>
              <w:left w:val="nil"/>
              <w:bottom w:val="single" w:sz="4" w:space="0" w:color="auto"/>
              <w:right w:val="nil"/>
            </w:tcBorders>
            <w:shd w:val="clear" w:color="auto" w:fill="EE0000"/>
            <w:noWrap/>
            <w:vAlign w:val="center"/>
            <w:hideMark/>
          </w:tcPr>
          <w:p w:rsidR="009739BA" w:rsidRDefault="009739BA" w:rsidP="000238F3">
            <w:pPr>
              <w:spacing w:after="0" w:line="240" w:lineRule="auto"/>
              <w:jc w:val="center"/>
              <w:rPr>
                <w:rFonts w:ascii="Tahoma" w:eastAsia="Times New Roman" w:hAnsi="Tahoma" w:cs="Tahoma"/>
                <w:b/>
                <w:bCs/>
                <w:color w:val="FFFFFF" w:themeColor="background1"/>
                <w:sz w:val="20"/>
                <w:szCs w:val="20"/>
                <w:lang w:eastAsia="it-IT"/>
              </w:rPr>
            </w:pPr>
            <w:r>
              <w:rPr>
                <w:rFonts w:ascii="Verdana" w:hAnsi="Verdana"/>
                <w:noProof/>
                <w:sz w:val="18"/>
                <w:szCs w:val="18"/>
              </w:rP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-53975</wp:posOffset>
                      </wp:positionV>
                      <wp:extent cx="819150" cy="609600"/>
                      <wp:effectExtent l="19050" t="19050" r="19050" b="19050"/>
                      <wp:wrapNone/>
                      <wp:docPr id="3" name="Ovale 3"/>
                      <wp:cNvGraphicFramePr/>
                      <a:graphic xmlns:a="http://schemas.openxmlformats.org/drawingml/2006/main">
                        <a:graphicData uri="http://schemas.microsoft.com/office/word/2010/wordprocessingShape">
                          <wps:wsp>
                            <wps:cNvSpPr/>
                            <wps:spPr>
                              <a:xfrm>
                                <a:off x="0" y="0"/>
                                <a:ext cx="819150" cy="609600"/>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24366E" id="Ovale 3" o:spid="_x0000_s1026" style="position:absolute;margin-left:4.55pt;margin-top:-4.25pt;width:64.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" filled="f" strokecolor="black [3213]" strokeweight="3pt">
                      <v:stroke joinstyle="miter"/>
                    </v:oval>
                  </w:pict>
                </mc:Fallback>
              </mc:AlternateContent>
            </w:r>
          </w:p>
          <w:p w:rsidR="009739BA" w:rsidRPr="00B32F4B" w:rsidRDefault="009739BA" w:rsidP="000238F3">
            <w:pPr>
              <w:spacing w:after="0" w:line="240" w:lineRule="auto"/>
              <w:jc w:val="center"/>
              <w:rPr>
                <w:rFonts w:ascii="Tahoma" w:eastAsia="Times New Roman" w:hAnsi="Tahoma" w:cs="Tahoma"/>
                <w:b/>
                <w:bCs/>
                <w:color w:val="FFFFFF" w:themeColor="background1"/>
                <w:sz w:val="20"/>
                <w:szCs w:val="20"/>
                <w:lang w:eastAsia="it-IT"/>
              </w:rPr>
            </w:pPr>
            <w:r w:rsidRPr="00B32F4B">
              <w:rPr>
                <w:rFonts w:ascii="Tahoma" w:eastAsia="Times New Roman" w:hAnsi="Tahoma" w:cs="Tahoma"/>
                <w:b/>
                <w:bCs/>
                <w:color w:val="FFFFFF" w:themeColor="background1"/>
                <w:sz w:val="20"/>
                <w:szCs w:val="20"/>
                <w:lang w:eastAsia="it-IT"/>
              </w:rPr>
              <w:t>+28.913</w:t>
            </w:r>
          </w:p>
        </w:tc>
        <w:tc>
          <w:tcPr>
            <w:tcW w:w="1480" w:type="dxa"/>
            <w:tcBorders>
              <w:top w:val="nil"/>
              <w:left w:val="nil"/>
              <w:bottom w:val="single" w:sz="4" w:space="0" w:color="auto"/>
              <w:right w:val="nil"/>
            </w:tcBorders>
            <w:shd w:val="clear" w:color="auto" w:fill="EE0000"/>
            <w:noWrap/>
            <w:vAlign w:val="center"/>
            <w:hideMark/>
          </w:tcPr>
          <w:p w:rsidR="009739BA" w:rsidRPr="00B32F4B" w:rsidRDefault="009739BA" w:rsidP="000238F3">
            <w:pPr>
              <w:spacing w:after="0" w:line="240" w:lineRule="auto"/>
              <w:jc w:val="center"/>
              <w:rPr>
                <w:rFonts w:ascii="Tahoma" w:eastAsia="Times New Roman" w:hAnsi="Tahoma" w:cs="Tahoma"/>
                <w:b/>
                <w:bCs/>
                <w:color w:val="FFFFFF" w:themeColor="background1"/>
                <w:sz w:val="20"/>
                <w:szCs w:val="20"/>
                <w:lang w:eastAsia="it-IT"/>
              </w:rPr>
            </w:pPr>
            <w:r w:rsidRPr="00B32F4B">
              <w:rPr>
                <w:rFonts w:ascii="Tahoma" w:eastAsia="Times New Roman" w:hAnsi="Tahoma" w:cs="Tahoma"/>
                <w:b/>
                <w:bCs/>
                <w:color w:val="FFFFFF" w:themeColor="background1"/>
                <w:sz w:val="20"/>
                <w:szCs w:val="20"/>
                <w:lang w:eastAsia="it-IT"/>
              </w:rPr>
              <w:t>+16,0</w:t>
            </w:r>
          </w:p>
        </w:tc>
      </w:tr>
    </w:tbl>
    <w:p w:rsidR="009739BA" w:rsidRPr="009C77B4" w:rsidRDefault="009739BA" w:rsidP="009739BA">
      <w:pPr>
        <w:spacing w:before="120" w:after="0" w:line="240" w:lineRule="auto"/>
        <w:jc w:val="center"/>
        <w:rPr>
          <w:rFonts w:ascii="Verdana" w:hAnsi="Verdana" w:cs="Tahoma"/>
          <w:sz w:val="18"/>
          <w:szCs w:val="18"/>
        </w:rPr>
      </w:pPr>
      <w:r w:rsidRPr="009C77B4">
        <w:rPr>
          <w:rFonts w:ascii="Verdana" w:hAnsi="Verdana" w:cs="Tahoma"/>
          <w:sz w:val="18"/>
          <w:szCs w:val="18"/>
        </w:rPr>
        <w:t>Elaborazione Ufficio Studi CGI</w:t>
      </w:r>
      <w:r>
        <w:rPr>
          <w:rFonts w:ascii="Verdana" w:hAnsi="Verdana" w:cs="Tahoma"/>
          <w:sz w:val="18"/>
          <w:szCs w:val="18"/>
        </w:rPr>
        <w:t xml:space="preserve">A su dati MASE, Terna, </w:t>
      </w:r>
      <w:proofErr w:type="spellStart"/>
      <w:r>
        <w:rPr>
          <w:rFonts w:ascii="Verdana" w:hAnsi="Verdana" w:cs="Tahoma"/>
          <w:sz w:val="18"/>
          <w:szCs w:val="18"/>
        </w:rPr>
        <w:t>Arera</w:t>
      </w:r>
      <w:proofErr w:type="spellEnd"/>
      <w:r>
        <w:rPr>
          <w:rFonts w:ascii="Verdana" w:hAnsi="Verdana" w:cs="Tahoma"/>
          <w:sz w:val="18"/>
          <w:szCs w:val="18"/>
        </w:rPr>
        <w:t>, Eurostat e GME</w:t>
      </w:r>
    </w:p>
    <w:p w:rsidR="009739BA" w:rsidRDefault="009739BA" w:rsidP="009739BA">
      <w:pPr>
        <w:spacing w:after="0" w:line="240" w:lineRule="auto"/>
        <w:jc w:val="center"/>
        <w:rPr>
          <w:rFonts w:ascii="Verdana" w:hAnsi="Verdana"/>
          <w:b/>
          <w:sz w:val="21"/>
          <w:szCs w:val="21"/>
        </w:rPr>
      </w:pPr>
      <w:r>
        <w:rPr>
          <w:rFonts w:ascii="Verdana" w:hAnsi="Verdana"/>
          <w:b/>
          <w:sz w:val="21"/>
          <w:szCs w:val="21"/>
        </w:rPr>
        <w:t xml:space="preserve"> </w:t>
      </w:r>
    </w:p>
    <w:p w:rsidR="009739BA" w:rsidRDefault="009739BA" w:rsidP="009739BA">
      <w:pPr>
        <w:spacing w:after="120"/>
        <w:jc w:val="both"/>
        <w:rPr>
          <w:rFonts w:ascii="Verdana" w:hAnsi="Verdana"/>
          <w:sz w:val="18"/>
          <w:szCs w:val="18"/>
        </w:rPr>
      </w:pPr>
    </w:p>
    <w:p w:rsidR="009739BA" w:rsidRPr="00120A71" w:rsidRDefault="009739BA" w:rsidP="009739BA">
      <w:pPr>
        <w:spacing w:after="120"/>
        <w:jc w:val="both"/>
        <w:rPr>
          <w:rFonts w:ascii="Verdana" w:hAnsi="Verdana"/>
          <w:b/>
          <w:bCs/>
          <w:sz w:val="18"/>
          <w:szCs w:val="18"/>
        </w:rPr>
      </w:pPr>
      <w:r w:rsidRPr="00120A71">
        <w:rPr>
          <w:rFonts w:ascii="Verdana" w:hAnsi="Verdana"/>
          <w:b/>
          <w:bCs/>
          <w:sz w:val="18"/>
          <w:szCs w:val="18"/>
        </w:rPr>
        <w:t xml:space="preserve">Note </w:t>
      </w:r>
    </w:p>
    <w:p w:rsidR="009739BA" w:rsidRPr="00C524EF" w:rsidRDefault="009739BA" w:rsidP="009739BA">
      <w:pPr>
        <w:spacing w:after="120"/>
        <w:jc w:val="both"/>
        <w:rPr>
          <w:rFonts w:ascii="Verdana" w:hAnsi="Verdana"/>
          <w:sz w:val="17"/>
          <w:szCs w:val="17"/>
        </w:rPr>
      </w:pPr>
      <w:r w:rsidRPr="00C524EF">
        <w:rPr>
          <w:rFonts w:ascii="Verdana" w:hAnsi="Verdana"/>
          <w:sz w:val="17"/>
          <w:szCs w:val="17"/>
        </w:rPr>
        <w:t xml:space="preserve">(*) Stime su benzina e gasolio motori calcolate a partire dai dati sui consumi 2025 del Ministero dell'ambiente e della sicurezza energetica (MASE) e sui prezzi medi dei 2 carburanti nel 2025 (benzina 1,733 euro al litro e gasolio 1,653 euro al litro); sono stati ipotizzati per il 2026 gli stessi livelli di consumo del 2025 e prezzi medi pari a 1,950 euro per la benzina e di 2,050 euro per il gasolio: </w:t>
      </w:r>
      <w:r w:rsidRPr="00C524EF">
        <w:rPr>
          <w:rFonts w:ascii="Verdana" w:hAnsi="Verdana"/>
          <w:sz w:val="17"/>
          <w:szCs w:val="17"/>
          <w:u w:val="single"/>
        </w:rPr>
        <w:t>si tratta di prezzi (</w:t>
      </w:r>
      <w:r>
        <w:rPr>
          <w:rFonts w:ascii="Verdana" w:hAnsi="Verdana"/>
          <w:sz w:val="17"/>
          <w:szCs w:val="17"/>
          <w:u w:val="single"/>
        </w:rPr>
        <w:t xml:space="preserve">medi annui di </w:t>
      </w:r>
      <w:r w:rsidRPr="00C524EF">
        <w:rPr>
          <w:rFonts w:ascii="Verdana" w:hAnsi="Verdana"/>
          <w:sz w:val="17"/>
          <w:szCs w:val="17"/>
          <w:u w:val="single"/>
        </w:rPr>
        <w:t xml:space="preserve">benzina e gasolio) </w:t>
      </w:r>
      <w:r>
        <w:rPr>
          <w:rFonts w:ascii="Verdana" w:hAnsi="Verdana"/>
          <w:sz w:val="17"/>
          <w:szCs w:val="17"/>
          <w:u w:val="single"/>
        </w:rPr>
        <w:t xml:space="preserve">di poco inferiori a quelli </w:t>
      </w:r>
      <w:r w:rsidRPr="00C524EF">
        <w:rPr>
          <w:rFonts w:ascii="Verdana" w:hAnsi="Verdana"/>
          <w:sz w:val="17"/>
          <w:szCs w:val="17"/>
          <w:u w:val="single"/>
        </w:rPr>
        <w:t xml:space="preserve">registrati </w:t>
      </w:r>
      <w:r>
        <w:rPr>
          <w:rFonts w:ascii="Verdana" w:hAnsi="Verdana"/>
          <w:sz w:val="17"/>
          <w:szCs w:val="17"/>
          <w:u w:val="single"/>
        </w:rPr>
        <w:t xml:space="preserve">in </w:t>
      </w:r>
      <w:r w:rsidRPr="00C524EF">
        <w:rPr>
          <w:rFonts w:ascii="Verdana" w:hAnsi="Verdana"/>
          <w:sz w:val="17"/>
          <w:szCs w:val="17"/>
          <w:u w:val="single"/>
        </w:rPr>
        <w:t xml:space="preserve">questa settimana </w:t>
      </w:r>
      <w:r>
        <w:rPr>
          <w:rFonts w:ascii="Verdana" w:hAnsi="Verdana"/>
          <w:sz w:val="17"/>
          <w:szCs w:val="17"/>
          <w:u w:val="single"/>
        </w:rPr>
        <w:t xml:space="preserve">(dal 20/07/2026) </w:t>
      </w:r>
      <w:r w:rsidRPr="00C524EF">
        <w:rPr>
          <w:rFonts w:ascii="Verdana" w:hAnsi="Verdana"/>
          <w:sz w:val="17"/>
          <w:szCs w:val="17"/>
          <w:u w:val="single"/>
        </w:rPr>
        <w:t>e</w:t>
      </w:r>
      <w:r>
        <w:rPr>
          <w:rFonts w:ascii="Verdana" w:hAnsi="Verdana"/>
          <w:sz w:val="17"/>
          <w:szCs w:val="17"/>
          <w:u w:val="single"/>
        </w:rPr>
        <w:t xml:space="preserve"> </w:t>
      </w:r>
      <w:r w:rsidRPr="00C524EF">
        <w:rPr>
          <w:rFonts w:ascii="Verdana" w:hAnsi="Verdana"/>
          <w:sz w:val="17"/>
          <w:szCs w:val="17"/>
          <w:u w:val="single"/>
        </w:rPr>
        <w:t xml:space="preserve">che si verificherebbero </w:t>
      </w:r>
      <w:r>
        <w:rPr>
          <w:rFonts w:ascii="Verdana" w:hAnsi="Verdana"/>
          <w:sz w:val="17"/>
          <w:szCs w:val="17"/>
          <w:u w:val="single"/>
        </w:rPr>
        <w:t>su base annua ipotizzando questi ultimi prezzi costanti per i</w:t>
      </w:r>
      <w:r w:rsidRPr="00C524EF">
        <w:rPr>
          <w:rFonts w:ascii="Verdana" w:hAnsi="Verdana"/>
          <w:sz w:val="17"/>
          <w:szCs w:val="17"/>
          <w:u w:val="single"/>
        </w:rPr>
        <w:t xml:space="preserve"> prossimi 5 mesi dell’anno</w:t>
      </w:r>
      <w:r w:rsidRPr="0042495A">
        <w:rPr>
          <w:rFonts w:ascii="Verdana" w:hAnsi="Verdana"/>
          <w:sz w:val="17"/>
          <w:szCs w:val="17"/>
        </w:rPr>
        <w:t>.</w:t>
      </w:r>
      <w:r>
        <w:rPr>
          <w:rFonts w:ascii="Verdana" w:hAnsi="Verdana"/>
          <w:sz w:val="17"/>
          <w:szCs w:val="17"/>
        </w:rPr>
        <w:t xml:space="preserve"> </w:t>
      </w:r>
      <w:r w:rsidRPr="00C524EF">
        <w:rPr>
          <w:rFonts w:ascii="Verdana" w:hAnsi="Verdana"/>
          <w:sz w:val="17"/>
          <w:szCs w:val="17"/>
        </w:rPr>
        <w:t xml:space="preserve">     </w:t>
      </w:r>
    </w:p>
    <w:p w:rsidR="009739BA" w:rsidRDefault="009739BA" w:rsidP="009739BA">
      <w:pPr>
        <w:spacing w:after="120"/>
        <w:jc w:val="both"/>
        <w:rPr>
          <w:rFonts w:ascii="Verdana" w:hAnsi="Verdana"/>
          <w:sz w:val="17"/>
          <w:szCs w:val="17"/>
        </w:rPr>
      </w:pPr>
      <w:r w:rsidRPr="00C524EF">
        <w:rPr>
          <w:rFonts w:ascii="Verdana" w:hAnsi="Verdana"/>
          <w:sz w:val="17"/>
          <w:szCs w:val="17"/>
        </w:rPr>
        <w:t xml:space="preserve">(**) Stime su energia elettrica e gas costruite a partire dai dati sui consumi del 2024 da parte delle imprese (ipotizzati costanti per gli anni 2025-2026) e sui relativi prezzi medi di fonte Eurostat; per quanto riguarda le utenze non domestiche, in riferimento ai consumi di energia elettrica, sono state considerate le utenze non domestiche al netto dei settori permeati dalla PA (Amministrazione pubblica/difesa, sanità/assistenza sociale, istruzione, illuminazione pubblica); per i consumi di gas sono state considerate le utenze industriali (generazione elettrica esclusa), del commercio e dei servizi (escluso servizio pubblico), tutte al netto degli autoconsumi. I costi per l’anno 2025 sono il frutto di una stima che tiene conto dell’andamento dei prezzi medi annui di mercato dell’energia elettrica e del gas - borsa energetica di fonte Gestore Mercati Energetici (GME) - pari a 116 euro per MWh per l’elettricità e di 39 euro per MWh per il gas; le previsioni dei costi per l’anno 2026 sono state calcolate considerando un prezzo medio (per l’intero anno) dell’energia elettrica di 150 euro per MWh e di 50 per il gas, rispettando la proporzione di 3 a 1 tra i due prezzi così come verificatosi mediamente nel triennio 2023-2025; </w:t>
      </w:r>
      <w:r w:rsidRPr="00C524EF">
        <w:rPr>
          <w:rFonts w:ascii="Verdana" w:hAnsi="Verdana"/>
          <w:sz w:val="17"/>
          <w:szCs w:val="17"/>
          <w:u w:val="single"/>
        </w:rPr>
        <w:t>si tratta di ipotesi di prezzi (medi annui di gas ed energia elettrica) di poco inferiori rispetto ai valori registrati nella settimana dal 13/07/2026 al 19/07/2026 (subito dopo la ripresa delle azioni militari) e che si verificherebbero con i prezzi attuali costanti per prossimi 5 mesi dell’anno</w:t>
      </w:r>
      <w:r w:rsidRPr="00C524EF">
        <w:rPr>
          <w:rFonts w:ascii="Verdana" w:hAnsi="Verdana"/>
          <w:sz w:val="17"/>
          <w:szCs w:val="17"/>
        </w:rPr>
        <w:t>. Si fa presente che l’aumento dei costi energetici per le imprese risulterà meno che proporzionale rispetto alla variazione dei prezzi della borsa energetica in quanto l’aumento del prezzo della materia prima non impatta su tutto il costo complessivo della bolletta (che comprende anche costi di commercializzazione, trasmissione, oneri, tasse, margini ecc.). E dunque rispetto ad un’ipotesi di aumento del prezzo della materia prima del 29% (stimato per il 2026 rispetto al 2025), le rispettive crescite dei costi per imprese e famiglie risulteranno inferiori. I dati sulla spesa delle famiglie per energia elettrica sono stati calcolati con le stesse metodologie ma per il 2024 (anno base per la stima del biennio 2025-2026) si è tenuto conto della spesa mensile dell’Istat che su base annua e moltiplicata per il numero di famiglie Italia restituisce importi simili al calcolo tramite i dati dei prezzi Eurostat.</w:t>
      </w:r>
    </w:p>
    <w:p w:rsidR="009739BA" w:rsidRPr="00C524EF" w:rsidRDefault="009739BA" w:rsidP="009739BA">
      <w:pPr>
        <w:spacing w:after="120"/>
        <w:jc w:val="both"/>
        <w:rPr>
          <w:rFonts w:ascii="Verdana" w:hAnsi="Verdana"/>
          <w:sz w:val="17"/>
          <w:szCs w:val="17"/>
        </w:rPr>
      </w:pPr>
    </w:p>
    <w:p w:rsidR="009739BA" w:rsidRDefault="009739BA" w:rsidP="009739BA">
      <w:pPr>
        <w:spacing w:after="0"/>
        <w:jc w:val="center"/>
        <w:rPr>
          <w:rFonts w:ascii="Verdana" w:hAnsi="Verdana"/>
          <w:b/>
          <w:sz w:val="21"/>
          <w:szCs w:val="21"/>
        </w:rPr>
      </w:pPr>
      <w:proofErr w:type="spellStart"/>
      <w:r>
        <w:rPr>
          <w:rFonts w:ascii="Verdana" w:hAnsi="Verdana"/>
          <w:b/>
          <w:sz w:val="21"/>
          <w:szCs w:val="21"/>
        </w:rPr>
        <w:lastRenderedPageBreak/>
        <w:t>Tab</w:t>
      </w:r>
      <w:proofErr w:type="spellEnd"/>
      <w:r>
        <w:rPr>
          <w:rFonts w:ascii="Verdana" w:hAnsi="Verdana"/>
          <w:b/>
          <w:sz w:val="21"/>
          <w:szCs w:val="21"/>
        </w:rPr>
        <w:t xml:space="preserve">. 2 – </w:t>
      </w:r>
      <w:r w:rsidRPr="008455CF">
        <w:rPr>
          <w:rFonts w:ascii="Verdana" w:hAnsi="Verdana"/>
          <w:b/>
          <w:sz w:val="21"/>
          <w:szCs w:val="21"/>
        </w:rPr>
        <w:t xml:space="preserve">Stima </w:t>
      </w:r>
      <w:r>
        <w:rPr>
          <w:rFonts w:ascii="Verdana" w:hAnsi="Verdana"/>
          <w:b/>
          <w:sz w:val="21"/>
          <w:szCs w:val="21"/>
        </w:rPr>
        <w:t xml:space="preserve">rincari ENERGETICI (*) </w:t>
      </w:r>
    </w:p>
    <w:p w:rsidR="009739BA" w:rsidRPr="002B300B" w:rsidRDefault="009739BA" w:rsidP="009739BA">
      <w:pPr>
        <w:spacing w:after="0"/>
        <w:jc w:val="center"/>
        <w:rPr>
          <w:rFonts w:ascii="Verdana" w:hAnsi="Verdana"/>
          <w:b/>
          <w:sz w:val="21"/>
          <w:szCs w:val="21"/>
        </w:rPr>
      </w:pPr>
      <w:r>
        <w:rPr>
          <w:rFonts w:ascii="Verdana" w:hAnsi="Verdana"/>
          <w:b/>
          <w:sz w:val="21"/>
          <w:szCs w:val="21"/>
        </w:rPr>
        <w:t xml:space="preserve">scatenati dalla guerra per </w:t>
      </w:r>
      <w:r>
        <w:rPr>
          <w:rFonts w:ascii="Verdana" w:hAnsi="Verdana"/>
          <w:b/>
          <w:sz w:val="21"/>
          <w:szCs w:val="21"/>
          <w:u w:val="single"/>
        </w:rPr>
        <w:t>IMPRESE e FAMIGLIE</w:t>
      </w:r>
      <w:r w:rsidRPr="004A2842">
        <w:rPr>
          <w:rFonts w:ascii="Verdana" w:hAnsi="Verdana"/>
          <w:b/>
          <w:sz w:val="21"/>
          <w:szCs w:val="21"/>
        </w:rPr>
        <w:t xml:space="preserve"> </w:t>
      </w:r>
    </w:p>
    <w:p w:rsidR="009739BA" w:rsidRDefault="009739BA" w:rsidP="009739BA">
      <w:pPr>
        <w:spacing w:after="0"/>
        <w:jc w:val="center"/>
        <w:rPr>
          <w:rFonts w:ascii="Verdana" w:hAnsi="Verdana"/>
          <w:sz w:val="20"/>
          <w:szCs w:val="21"/>
        </w:rPr>
      </w:pPr>
      <w:r>
        <w:rPr>
          <w:rFonts w:ascii="Verdana" w:hAnsi="Verdana"/>
          <w:sz w:val="20"/>
          <w:szCs w:val="21"/>
        </w:rPr>
        <w:t xml:space="preserve">DATI REGIONALI - </w:t>
      </w:r>
      <w:r w:rsidRPr="008455CF">
        <w:rPr>
          <w:rFonts w:ascii="Verdana" w:hAnsi="Verdana"/>
          <w:sz w:val="20"/>
          <w:szCs w:val="21"/>
        </w:rPr>
        <w:t>Valori in milioni di euro</w:t>
      </w:r>
      <w:r>
        <w:rPr>
          <w:rFonts w:ascii="Verdana" w:hAnsi="Verdana"/>
          <w:sz w:val="20"/>
          <w:szCs w:val="21"/>
        </w:rPr>
        <w:t xml:space="preserve"> e </w:t>
      </w:r>
      <w:proofErr w:type="spellStart"/>
      <w:r>
        <w:rPr>
          <w:rFonts w:ascii="Verdana" w:hAnsi="Verdana"/>
          <w:sz w:val="20"/>
          <w:szCs w:val="21"/>
        </w:rPr>
        <w:t>var</w:t>
      </w:r>
      <w:proofErr w:type="spellEnd"/>
      <w:r>
        <w:rPr>
          <w:rFonts w:ascii="Verdana" w:hAnsi="Verdana"/>
          <w:sz w:val="20"/>
          <w:szCs w:val="21"/>
        </w:rPr>
        <w:t>. %</w:t>
      </w:r>
    </w:p>
    <w:tbl>
      <w:tblPr>
        <w:tblW w:w="10500" w:type="dxa"/>
        <w:tblInd w:w="70" w:type="dxa"/>
        <w:tblCellMar>
          <w:left w:w="70" w:type="dxa"/>
          <w:right w:w="70" w:type="dxa"/>
        </w:tblCellMar>
        <w:tblLook w:val="04A0" w:firstRow="1" w:lastRow="0" w:firstColumn="1" w:lastColumn="0" w:noHBand="0" w:noVBand="1"/>
      </w:tblPr>
      <w:tblGrid>
        <w:gridCol w:w="1140"/>
        <w:gridCol w:w="2400"/>
        <w:gridCol w:w="1740"/>
        <w:gridCol w:w="1740"/>
        <w:gridCol w:w="1740"/>
        <w:gridCol w:w="1740"/>
      </w:tblGrid>
      <w:tr w:rsidR="009739BA" w:rsidRPr="00CE2D12" w:rsidTr="009739BA">
        <w:trPr>
          <w:trHeight w:val="660"/>
        </w:trPr>
        <w:tc>
          <w:tcPr>
            <w:tcW w:w="1140" w:type="dxa"/>
            <w:tcBorders>
              <w:top w:val="single" w:sz="4" w:space="0" w:color="auto"/>
              <w:left w:val="nil"/>
              <w:bottom w:val="single" w:sz="4" w:space="0" w:color="auto"/>
              <w:right w:val="nil"/>
            </w:tcBorders>
            <w:shd w:val="clear" w:color="auto" w:fill="0000FF"/>
            <w:vAlign w:val="center"/>
            <w:hideMark/>
          </w:tcPr>
          <w:p w:rsidR="009739BA" w:rsidRPr="00CE2D12" w:rsidRDefault="009739BA" w:rsidP="000238F3">
            <w:pPr>
              <w:spacing w:after="0" w:line="240" w:lineRule="auto"/>
              <w:jc w:val="center"/>
              <w:rPr>
                <w:rFonts w:ascii="Tahoma" w:eastAsia="Times New Roman" w:hAnsi="Tahoma" w:cs="Tahoma"/>
                <w:b/>
                <w:bCs/>
                <w:color w:val="FFFFFF"/>
                <w:sz w:val="20"/>
                <w:szCs w:val="20"/>
                <w:lang w:eastAsia="it-IT"/>
              </w:rPr>
            </w:pPr>
            <w:proofErr w:type="spellStart"/>
            <w:r w:rsidRPr="00CE2D12">
              <w:rPr>
                <w:rFonts w:ascii="Tahoma" w:eastAsia="Times New Roman" w:hAnsi="Tahoma" w:cs="Tahoma"/>
                <w:b/>
                <w:bCs/>
                <w:color w:val="FFFFFF"/>
                <w:sz w:val="20"/>
                <w:szCs w:val="20"/>
                <w:lang w:eastAsia="it-IT"/>
              </w:rPr>
              <w:t>Rank</w:t>
            </w:r>
            <w:proofErr w:type="spellEnd"/>
            <w:r w:rsidRPr="00CE2D12">
              <w:rPr>
                <w:rFonts w:ascii="Tahoma" w:eastAsia="Times New Roman" w:hAnsi="Tahoma" w:cs="Tahoma"/>
                <w:b/>
                <w:bCs/>
                <w:color w:val="FFFFFF"/>
                <w:sz w:val="20"/>
                <w:szCs w:val="20"/>
                <w:lang w:eastAsia="it-IT"/>
              </w:rPr>
              <w:t xml:space="preserve"> per </w:t>
            </w:r>
            <w:r w:rsidRPr="00CE2D12">
              <w:rPr>
                <w:rFonts w:ascii="Tahoma" w:eastAsia="Times New Roman" w:hAnsi="Tahoma" w:cs="Tahoma"/>
                <w:b/>
                <w:bCs/>
                <w:color w:val="FFFFFF"/>
                <w:sz w:val="20"/>
                <w:szCs w:val="20"/>
                <w:lang w:eastAsia="it-IT"/>
              </w:rPr>
              <w:br/>
            </w:r>
            <w:proofErr w:type="spellStart"/>
            <w:r w:rsidRPr="00CE2D12">
              <w:rPr>
                <w:rFonts w:ascii="Tahoma" w:eastAsia="Times New Roman" w:hAnsi="Tahoma" w:cs="Tahoma"/>
                <w:b/>
                <w:bCs/>
                <w:color w:val="FFFFFF"/>
                <w:sz w:val="20"/>
                <w:szCs w:val="20"/>
                <w:lang w:eastAsia="it-IT"/>
              </w:rPr>
              <w:t>var</w:t>
            </w:r>
            <w:proofErr w:type="spellEnd"/>
            <w:r w:rsidRPr="00CE2D12">
              <w:rPr>
                <w:rFonts w:ascii="Tahoma" w:eastAsia="Times New Roman" w:hAnsi="Tahoma" w:cs="Tahoma"/>
                <w:b/>
                <w:bCs/>
                <w:color w:val="FFFFFF"/>
                <w:sz w:val="20"/>
                <w:szCs w:val="20"/>
                <w:lang w:eastAsia="it-IT"/>
              </w:rPr>
              <w:t xml:space="preserve">. </w:t>
            </w:r>
            <w:proofErr w:type="spellStart"/>
            <w:r w:rsidRPr="00CE2D12">
              <w:rPr>
                <w:rFonts w:ascii="Tahoma" w:eastAsia="Times New Roman" w:hAnsi="Tahoma" w:cs="Tahoma"/>
                <w:b/>
                <w:bCs/>
                <w:color w:val="FFFFFF"/>
                <w:sz w:val="20"/>
                <w:szCs w:val="20"/>
                <w:lang w:eastAsia="it-IT"/>
              </w:rPr>
              <w:t>ass</w:t>
            </w:r>
            <w:proofErr w:type="spellEnd"/>
            <w:r w:rsidRPr="00CE2D12">
              <w:rPr>
                <w:rFonts w:ascii="Tahoma" w:eastAsia="Times New Roman" w:hAnsi="Tahoma" w:cs="Tahoma"/>
                <w:b/>
                <w:bCs/>
                <w:color w:val="FFFFFF"/>
                <w:sz w:val="20"/>
                <w:szCs w:val="20"/>
                <w:lang w:eastAsia="it-IT"/>
              </w:rPr>
              <w:t>.</w:t>
            </w:r>
          </w:p>
        </w:tc>
        <w:tc>
          <w:tcPr>
            <w:tcW w:w="2400" w:type="dxa"/>
            <w:tcBorders>
              <w:top w:val="single" w:sz="4" w:space="0" w:color="auto"/>
              <w:left w:val="nil"/>
              <w:bottom w:val="single" w:sz="4" w:space="0" w:color="auto"/>
              <w:right w:val="nil"/>
            </w:tcBorders>
            <w:shd w:val="clear" w:color="auto" w:fill="0000FF"/>
            <w:noWrap/>
            <w:vAlign w:val="center"/>
            <w:hideMark/>
          </w:tcPr>
          <w:p w:rsidR="009739BA" w:rsidRPr="00CE2D12" w:rsidRDefault="009739BA" w:rsidP="000238F3">
            <w:pPr>
              <w:spacing w:after="0" w:line="240" w:lineRule="auto"/>
              <w:rPr>
                <w:rFonts w:ascii="Tahoma" w:eastAsia="Times New Roman" w:hAnsi="Tahoma" w:cs="Tahoma"/>
                <w:b/>
                <w:bCs/>
                <w:color w:val="FFFFFF"/>
                <w:sz w:val="20"/>
                <w:szCs w:val="20"/>
                <w:lang w:eastAsia="it-IT"/>
              </w:rPr>
            </w:pPr>
            <w:r w:rsidRPr="00CE2D12">
              <w:rPr>
                <w:rFonts w:ascii="Tahoma" w:eastAsia="Times New Roman" w:hAnsi="Tahoma" w:cs="Tahoma"/>
                <w:b/>
                <w:bCs/>
                <w:color w:val="FFFFFF"/>
                <w:sz w:val="20"/>
                <w:szCs w:val="20"/>
                <w:lang w:eastAsia="it-IT"/>
              </w:rPr>
              <w:t>Regioni e ripartizioni</w:t>
            </w:r>
          </w:p>
        </w:tc>
        <w:tc>
          <w:tcPr>
            <w:tcW w:w="1740" w:type="dxa"/>
            <w:tcBorders>
              <w:top w:val="single" w:sz="4" w:space="0" w:color="auto"/>
              <w:left w:val="single" w:sz="4" w:space="0" w:color="FFFFFF"/>
              <w:bottom w:val="single" w:sz="4" w:space="0" w:color="auto"/>
              <w:right w:val="nil"/>
            </w:tcBorders>
            <w:shd w:val="clear" w:color="auto" w:fill="0000FF"/>
            <w:noWrap/>
            <w:vAlign w:val="center"/>
            <w:hideMark/>
          </w:tcPr>
          <w:p w:rsidR="009739BA" w:rsidRPr="00CE2D12" w:rsidRDefault="009739BA" w:rsidP="000238F3">
            <w:pPr>
              <w:spacing w:after="0" w:line="240" w:lineRule="auto"/>
              <w:jc w:val="center"/>
              <w:rPr>
                <w:rFonts w:ascii="Tahoma" w:eastAsia="Times New Roman" w:hAnsi="Tahoma" w:cs="Tahoma"/>
                <w:b/>
                <w:bCs/>
                <w:color w:val="FFFFFF"/>
                <w:sz w:val="20"/>
                <w:szCs w:val="20"/>
                <w:lang w:eastAsia="it-IT"/>
              </w:rPr>
            </w:pPr>
            <w:r w:rsidRPr="00CE2D12">
              <w:rPr>
                <w:rFonts w:ascii="Tahoma" w:eastAsia="Times New Roman" w:hAnsi="Tahoma" w:cs="Tahoma"/>
                <w:b/>
                <w:bCs/>
                <w:color w:val="FFFFFF"/>
                <w:sz w:val="20"/>
                <w:szCs w:val="20"/>
                <w:lang w:eastAsia="it-IT"/>
              </w:rPr>
              <w:t>2025</w:t>
            </w:r>
          </w:p>
        </w:tc>
        <w:tc>
          <w:tcPr>
            <w:tcW w:w="1740" w:type="dxa"/>
            <w:tcBorders>
              <w:top w:val="single" w:sz="4" w:space="0" w:color="auto"/>
              <w:left w:val="nil"/>
              <w:bottom w:val="single" w:sz="4" w:space="0" w:color="auto"/>
              <w:right w:val="single" w:sz="4" w:space="0" w:color="FFFFFF"/>
            </w:tcBorders>
            <w:shd w:val="clear" w:color="auto" w:fill="0000FF"/>
            <w:noWrap/>
            <w:vAlign w:val="center"/>
            <w:hideMark/>
          </w:tcPr>
          <w:p w:rsidR="009739BA" w:rsidRPr="00CE2D12" w:rsidRDefault="009739BA" w:rsidP="000238F3">
            <w:pPr>
              <w:spacing w:after="0" w:line="240" w:lineRule="auto"/>
              <w:jc w:val="center"/>
              <w:rPr>
                <w:rFonts w:ascii="Tahoma" w:eastAsia="Times New Roman" w:hAnsi="Tahoma" w:cs="Tahoma"/>
                <w:b/>
                <w:bCs/>
                <w:color w:val="FFFFFF"/>
                <w:sz w:val="20"/>
                <w:szCs w:val="20"/>
                <w:lang w:eastAsia="it-IT"/>
              </w:rPr>
            </w:pPr>
            <w:r w:rsidRPr="00CE2D12">
              <w:rPr>
                <w:rFonts w:ascii="Tahoma" w:eastAsia="Times New Roman" w:hAnsi="Tahoma" w:cs="Tahoma"/>
                <w:b/>
                <w:bCs/>
                <w:color w:val="FFFFFF"/>
                <w:sz w:val="20"/>
                <w:szCs w:val="20"/>
                <w:lang w:eastAsia="it-IT"/>
              </w:rPr>
              <w:t>2026</w:t>
            </w:r>
          </w:p>
        </w:tc>
        <w:tc>
          <w:tcPr>
            <w:tcW w:w="1740" w:type="dxa"/>
            <w:tcBorders>
              <w:top w:val="single" w:sz="4" w:space="0" w:color="auto"/>
              <w:left w:val="nil"/>
              <w:bottom w:val="single" w:sz="4" w:space="0" w:color="auto"/>
              <w:right w:val="nil"/>
            </w:tcBorders>
            <w:shd w:val="clear" w:color="auto" w:fill="0000FF"/>
            <w:vAlign w:val="center"/>
            <w:hideMark/>
          </w:tcPr>
          <w:p w:rsidR="009739BA" w:rsidRPr="00CE2D12" w:rsidRDefault="009739BA" w:rsidP="000238F3">
            <w:pPr>
              <w:spacing w:after="0" w:line="240" w:lineRule="auto"/>
              <w:jc w:val="center"/>
              <w:rPr>
                <w:rFonts w:ascii="Tahoma" w:eastAsia="Times New Roman" w:hAnsi="Tahoma" w:cs="Tahoma"/>
                <w:b/>
                <w:bCs/>
                <w:color w:val="FFFFFF"/>
                <w:sz w:val="20"/>
                <w:szCs w:val="20"/>
                <w:lang w:eastAsia="it-IT"/>
              </w:rPr>
            </w:pPr>
            <w:proofErr w:type="spellStart"/>
            <w:r w:rsidRPr="00CE2D12">
              <w:rPr>
                <w:rFonts w:ascii="Tahoma" w:eastAsia="Times New Roman" w:hAnsi="Tahoma" w:cs="Tahoma"/>
                <w:b/>
                <w:bCs/>
                <w:color w:val="FFFFFF"/>
                <w:sz w:val="20"/>
                <w:szCs w:val="20"/>
                <w:lang w:eastAsia="it-IT"/>
              </w:rPr>
              <w:t>Var</w:t>
            </w:r>
            <w:proofErr w:type="spellEnd"/>
            <w:r w:rsidRPr="00CE2D12">
              <w:rPr>
                <w:rFonts w:ascii="Tahoma" w:eastAsia="Times New Roman" w:hAnsi="Tahoma" w:cs="Tahoma"/>
                <w:b/>
                <w:bCs/>
                <w:color w:val="FFFFFF"/>
                <w:sz w:val="20"/>
                <w:szCs w:val="20"/>
                <w:lang w:eastAsia="it-IT"/>
              </w:rPr>
              <w:t xml:space="preserve">. </w:t>
            </w:r>
            <w:proofErr w:type="spellStart"/>
            <w:r w:rsidRPr="00CE2D12">
              <w:rPr>
                <w:rFonts w:ascii="Tahoma" w:eastAsia="Times New Roman" w:hAnsi="Tahoma" w:cs="Tahoma"/>
                <w:b/>
                <w:bCs/>
                <w:color w:val="FFFFFF"/>
                <w:sz w:val="20"/>
                <w:szCs w:val="20"/>
                <w:lang w:eastAsia="it-IT"/>
              </w:rPr>
              <w:t>ass</w:t>
            </w:r>
            <w:proofErr w:type="spellEnd"/>
            <w:r w:rsidRPr="00CE2D12">
              <w:rPr>
                <w:rFonts w:ascii="Tahoma" w:eastAsia="Times New Roman" w:hAnsi="Tahoma" w:cs="Tahoma"/>
                <w:b/>
                <w:bCs/>
                <w:color w:val="FFFFFF"/>
                <w:sz w:val="20"/>
                <w:szCs w:val="20"/>
                <w:lang w:eastAsia="it-IT"/>
              </w:rPr>
              <w:t>.</w:t>
            </w:r>
            <w:r w:rsidRPr="00CE2D12">
              <w:rPr>
                <w:rFonts w:ascii="Tahoma" w:eastAsia="Times New Roman" w:hAnsi="Tahoma" w:cs="Tahoma"/>
                <w:b/>
                <w:bCs/>
                <w:color w:val="FFFFFF"/>
                <w:sz w:val="20"/>
                <w:szCs w:val="20"/>
                <w:lang w:eastAsia="it-IT"/>
              </w:rPr>
              <w:br/>
              <w:t>2026-2025</w:t>
            </w:r>
          </w:p>
        </w:tc>
        <w:tc>
          <w:tcPr>
            <w:tcW w:w="1740" w:type="dxa"/>
            <w:tcBorders>
              <w:top w:val="single" w:sz="4" w:space="0" w:color="auto"/>
              <w:left w:val="nil"/>
              <w:bottom w:val="single" w:sz="4" w:space="0" w:color="auto"/>
              <w:right w:val="nil"/>
            </w:tcBorders>
            <w:shd w:val="clear" w:color="auto" w:fill="0000FF"/>
            <w:vAlign w:val="center"/>
            <w:hideMark/>
          </w:tcPr>
          <w:p w:rsidR="009739BA" w:rsidRPr="00CE2D12" w:rsidRDefault="009739BA" w:rsidP="000238F3">
            <w:pPr>
              <w:spacing w:after="0" w:line="240" w:lineRule="auto"/>
              <w:jc w:val="center"/>
              <w:rPr>
                <w:rFonts w:ascii="Tahoma" w:eastAsia="Times New Roman" w:hAnsi="Tahoma" w:cs="Tahoma"/>
                <w:b/>
                <w:bCs/>
                <w:color w:val="FFFFFF"/>
                <w:sz w:val="20"/>
                <w:szCs w:val="20"/>
                <w:lang w:eastAsia="it-IT"/>
              </w:rPr>
            </w:pPr>
            <w:proofErr w:type="spellStart"/>
            <w:r w:rsidRPr="00CE2D12">
              <w:rPr>
                <w:rFonts w:ascii="Tahoma" w:eastAsia="Times New Roman" w:hAnsi="Tahoma" w:cs="Tahoma"/>
                <w:b/>
                <w:bCs/>
                <w:color w:val="FFFFFF"/>
                <w:sz w:val="20"/>
                <w:szCs w:val="20"/>
                <w:lang w:eastAsia="it-IT"/>
              </w:rPr>
              <w:t>Var</w:t>
            </w:r>
            <w:proofErr w:type="spellEnd"/>
            <w:r w:rsidRPr="00CE2D12">
              <w:rPr>
                <w:rFonts w:ascii="Tahoma" w:eastAsia="Times New Roman" w:hAnsi="Tahoma" w:cs="Tahoma"/>
                <w:b/>
                <w:bCs/>
                <w:color w:val="FFFFFF"/>
                <w:sz w:val="20"/>
                <w:szCs w:val="20"/>
                <w:lang w:eastAsia="it-IT"/>
              </w:rPr>
              <w:t>. %</w:t>
            </w:r>
            <w:r w:rsidRPr="00CE2D12">
              <w:rPr>
                <w:rFonts w:ascii="Tahoma" w:eastAsia="Times New Roman" w:hAnsi="Tahoma" w:cs="Tahoma"/>
                <w:b/>
                <w:bCs/>
                <w:color w:val="FFFFFF"/>
                <w:sz w:val="20"/>
                <w:szCs w:val="20"/>
                <w:lang w:eastAsia="it-IT"/>
              </w:rPr>
              <w:br/>
              <w:t>2026/2025</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Lombardia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35.784</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41.186</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+5.402</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+15,1</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2</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Emilia-Romagna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18.704</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21.714</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+3.011</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+16,1</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3</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Veneto</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18.669</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21.621</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+2.952</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+15,8</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4</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Lazio</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13.968</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16.240</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+2.272</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+16,3</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5</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Piemonte</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13.770</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15.888</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+2.118</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+15,4</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6</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Toscana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12.161</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14.097</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+1.935</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+15,9</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7</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Sicilia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10.876</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12.721</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+1.845</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+17,0</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8</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Campania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10.817</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12.658</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+1.840</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+17,0</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9</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Puglia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9.557</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11.135</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+1.578</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+16,5</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10</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Friuli-Venezia Giulia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5.289</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6.109</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+820</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+15,5</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11</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Marche</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4.574</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5.323</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+749</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+16,4</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12</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Calabria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4.184</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4.930</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+746</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+17,8</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13</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Trentino-Alto Adige</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4.170</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4.857</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+687</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+16,5</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14</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Abruzzo</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4.160</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4.845</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+685</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+16,5</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15</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Sardegna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4.089</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4.762</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+673</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+16,5</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16</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Liguria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3.940</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4.566</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+626</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+15,9</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17</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Umbria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3.145</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3.652</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+507</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+16,1</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18</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Basilicata</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1.496</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1.739</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+243</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+16,3</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19</w:t>
            </w: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Molise</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882</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1.028</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+146</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+16,6</w:t>
            </w:r>
          </w:p>
        </w:tc>
      </w:tr>
      <w:tr w:rsidR="009739BA" w:rsidRPr="00CE2D12" w:rsidTr="0042009D">
        <w:trPr>
          <w:trHeight w:val="300"/>
        </w:trPr>
        <w:tc>
          <w:tcPr>
            <w:tcW w:w="1140" w:type="dxa"/>
            <w:tcBorders>
              <w:top w:val="nil"/>
              <w:left w:val="nil"/>
              <w:bottom w:val="single" w:sz="4" w:space="0" w:color="auto"/>
              <w:right w:val="nil"/>
            </w:tcBorders>
            <w:noWrap/>
            <w:vAlign w:val="bottom"/>
            <w:hideMark/>
          </w:tcPr>
          <w:p w:rsidR="009739BA" w:rsidRPr="00CE2D12" w:rsidRDefault="009739BA" w:rsidP="000238F3">
            <w:pPr>
              <w:spacing w:after="0" w:line="240" w:lineRule="auto"/>
              <w:jc w:val="center"/>
              <w:rPr>
                <w:rFonts w:eastAsia="Times New Roman" w:cs="Calibri"/>
                <w:color w:val="000000"/>
                <w:lang w:eastAsia="it-IT"/>
              </w:rPr>
            </w:pPr>
            <w:r w:rsidRPr="00CE2D12">
              <w:rPr>
                <w:rFonts w:eastAsia="Times New Roman" w:cs="Calibri"/>
                <w:color w:val="000000"/>
                <w:lang w:eastAsia="it-IT"/>
              </w:rPr>
              <w:t>20</w:t>
            </w:r>
          </w:p>
        </w:tc>
        <w:tc>
          <w:tcPr>
            <w:tcW w:w="2400" w:type="dxa"/>
            <w:tcBorders>
              <w:top w:val="nil"/>
              <w:left w:val="nil"/>
              <w:bottom w:val="single" w:sz="4" w:space="0" w:color="auto"/>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Valle d'Aosta</w:t>
            </w:r>
          </w:p>
        </w:tc>
        <w:tc>
          <w:tcPr>
            <w:tcW w:w="1740" w:type="dxa"/>
            <w:tcBorders>
              <w:top w:val="nil"/>
              <w:left w:val="single" w:sz="4" w:space="0" w:color="auto"/>
              <w:bottom w:val="single" w:sz="4" w:space="0" w:color="auto"/>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482</w:t>
            </w:r>
          </w:p>
        </w:tc>
        <w:tc>
          <w:tcPr>
            <w:tcW w:w="1740" w:type="dxa"/>
            <w:tcBorders>
              <w:top w:val="nil"/>
              <w:left w:val="nil"/>
              <w:bottom w:val="single" w:sz="4" w:space="0" w:color="auto"/>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557</w:t>
            </w:r>
          </w:p>
        </w:tc>
        <w:tc>
          <w:tcPr>
            <w:tcW w:w="1740" w:type="dxa"/>
            <w:tcBorders>
              <w:top w:val="nil"/>
              <w:left w:val="nil"/>
              <w:bottom w:val="single" w:sz="4" w:space="0" w:color="auto"/>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+76</w:t>
            </w:r>
          </w:p>
        </w:tc>
        <w:tc>
          <w:tcPr>
            <w:tcW w:w="1740" w:type="dxa"/>
            <w:tcBorders>
              <w:top w:val="nil"/>
              <w:left w:val="nil"/>
              <w:bottom w:val="single" w:sz="4" w:space="0" w:color="auto"/>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+15,7</w:t>
            </w:r>
          </w:p>
        </w:tc>
      </w:tr>
      <w:tr w:rsidR="0042009D" w:rsidRPr="0042009D" w:rsidTr="0042009D">
        <w:trPr>
          <w:trHeight w:val="300"/>
        </w:trPr>
        <w:tc>
          <w:tcPr>
            <w:tcW w:w="1140" w:type="dxa"/>
            <w:tcBorders>
              <w:top w:val="single" w:sz="4" w:space="0" w:color="auto"/>
              <w:left w:val="nil"/>
              <w:bottom w:val="single" w:sz="4" w:space="0" w:color="auto"/>
              <w:right w:val="nil"/>
            </w:tcBorders>
            <w:shd w:val="clear" w:color="auto" w:fill="FFFF00"/>
            <w:noWrap/>
            <w:vAlign w:val="bottom"/>
            <w:hideMark/>
          </w:tcPr>
          <w:p w:rsidR="009739BA" w:rsidRPr="0042009D" w:rsidRDefault="009739BA" w:rsidP="000238F3">
            <w:pPr>
              <w:spacing w:after="0" w:line="240" w:lineRule="auto"/>
              <w:rPr>
                <w:rFonts w:eastAsia="Times New Roman" w:cs="Calibri"/>
                <w:lang w:eastAsia="it-IT"/>
              </w:rPr>
            </w:pPr>
            <w:r w:rsidRPr="0042009D">
              <w:rPr>
                <w:rFonts w:eastAsia="Times New Roman" w:cs="Calibri"/>
                <w:lang w:eastAsia="it-IT"/>
              </w:rPr>
              <w:t> </w:t>
            </w:r>
          </w:p>
        </w:tc>
        <w:tc>
          <w:tcPr>
            <w:tcW w:w="2400" w:type="dxa"/>
            <w:tcBorders>
              <w:top w:val="single" w:sz="4" w:space="0" w:color="auto"/>
              <w:left w:val="nil"/>
              <w:bottom w:val="single" w:sz="4" w:space="0" w:color="auto"/>
              <w:right w:val="nil"/>
            </w:tcBorders>
            <w:shd w:val="clear" w:color="auto" w:fill="FFFF00"/>
            <w:vAlign w:val="center"/>
            <w:hideMark/>
          </w:tcPr>
          <w:p w:rsidR="009739BA" w:rsidRPr="0042009D" w:rsidRDefault="009739BA" w:rsidP="000238F3">
            <w:pPr>
              <w:spacing w:after="0" w:line="240" w:lineRule="auto"/>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ITALIA</w:t>
            </w:r>
          </w:p>
        </w:tc>
        <w:tc>
          <w:tcPr>
            <w:tcW w:w="1740" w:type="dxa"/>
            <w:tcBorders>
              <w:top w:val="single" w:sz="4" w:space="0" w:color="auto"/>
              <w:left w:val="single" w:sz="4" w:space="0" w:color="auto"/>
              <w:bottom w:val="single" w:sz="4" w:space="0" w:color="auto"/>
              <w:right w:val="nil"/>
            </w:tcBorders>
            <w:shd w:val="clear" w:color="auto" w:fill="FFFF00"/>
            <w:noWrap/>
            <w:vAlign w:val="center"/>
            <w:hideMark/>
          </w:tcPr>
          <w:p w:rsidR="009739BA" w:rsidRPr="0042009D" w:rsidRDefault="009739BA" w:rsidP="000238F3">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180.716</w:t>
            </w:r>
          </w:p>
        </w:tc>
        <w:tc>
          <w:tcPr>
            <w:tcW w:w="1740" w:type="dxa"/>
            <w:tcBorders>
              <w:top w:val="single" w:sz="4" w:space="0" w:color="auto"/>
              <w:left w:val="nil"/>
              <w:bottom w:val="single" w:sz="4" w:space="0" w:color="auto"/>
              <w:right w:val="single" w:sz="4" w:space="0" w:color="FFFFFF"/>
            </w:tcBorders>
            <w:shd w:val="clear" w:color="auto" w:fill="FFFF00"/>
            <w:noWrap/>
            <w:vAlign w:val="center"/>
            <w:hideMark/>
          </w:tcPr>
          <w:p w:rsidR="009739BA" w:rsidRPr="0042009D" w:rsidRDefault="009739BA" w:rsidP="000238F3">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209.629</w:t>
            </w:r>
          </w:p>
        </w:tc>
        <w:tc>
          <w:tcPr>
            <w:tcW w:w="1740" w:type="dxa"/>
            <w:tcBorders>
              <w:top w:val="single" w:sz="4" w:space="0" w:color="auto"/>
              <w:left w:val="nil"/>
              <w:bottom w:val="single" w:sz="4" w:space="0" w:color="auto"/>
              <w:right w:val="nil"/>
            </w:tcBorders>
            <w:shd w:val="clear" w:color="auto" w:fill="FFFF00"/>
            <w:noWrap/>
            <w:vAlign w:val="center"/>
            <w:hideMark/>
          </w:tcPr>
          <w:p w:rsidR="009739BA" w:rsidRPr="0042009D" w:rsidRDefault="009739BA" w:rsidP="000238F3">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+28.913</w:t>
            </w:r>
          </w:p>
        </w:tc>
        <w:tc>
          <w:tcPr>
            <w:tcW w:w="1740" w:type="dxa"/>
            <w:tcBorders>
              <w:top w:val="single" w:sz="4" w:space="0" w:color="auto"/>
              <w:left w:val="nil"/>
              <w:bottom w:val="single" w:sz="4" w:space="0" w:color="auto"/>
              <w:right w:val="nil"/>
            </w:tcBorders>
            <w:shd w:val="clear" w:color="auto" w:fill="FFFF00"/>
            <w:noWrap/>
            <w:vAlign w:val="center"/>
            <w:hideMark/>
          </w:tcPr>
          <w:p w:rsidR="009739BA" w:rsidRPr="0042009D" w:rsidRDefault="009739BA" w:rsidP="000238F3">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+16,0</w:t>
            </w:r>
          </w:p>
        </w:tc>
      </w:tr>
      <w:tr w:rsidR="009739BA" w:rsidRPr="00CE2D12" w:rsidTr="0042009D">
        <w:trPr>
          <w:trHeight w:val="300"/>
        </w:trPr>
        <w:tc>
          <w:tcPr>
            <w:tcW w:w="1140" w:type="dxa"/>
            <w:tcBorders>
              <w:top w:val="single" w:sz="4" w:space="0" w:color="auto"/>
              <w:left w:val="nil"/>
              <w:bottom w:val="nil"/>
              <w:right w:val="nil"/>
            </w:tcBorders>
            <w:noWrap/>
            <w:vAlign w:val="bottom"/>
            <w:hideMark/>
          </w:tcPr>
          <w:p w:rsidR="009739BA" w:rsidRPr="00CE2D12" w:rsidRDefault="009739BA" w:rsidP="000238F3">
            <w:pPr>
              <w:spacing w:after="0" w:line="240" w:lineRule="auto"/>
              <w:jc w:val="center"/>
              <w:rPr>
                <w:rFonts w:ascii="Tahoma" w:eastAsia="Times New Roman" w:hAnsi="Tahoma" w:cs="Tahoma"/>
                <w:b/>
                <w:bCs/>
                <w:color w:val="FFFFFF"/>
                <w:sz w:val="20"/>
                <w:szCs w:val="20"/>
                <w:lang w:eastAsia="it-IT"/>
              </w:rPr>
            </w:pPr>
          </w:p>
        </w:tc>
        <w:tc>
          <w:tcPr>
            <w:tcW w:w="2400" w:type="dxa"/>
            <w:tcBorders>
              <w:top w:val="single" w:sz="4" w:space="0" w:color="auto"/>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NORD OVEST</w:t>
            </w:r>
          </w:p>
        </w:tc>
        <w:tc>
          <w:tcPr>
            <w:tcW w:w="1740" w:type="dxa"/>
            <w:tcBorders>
              <w:top w:val="single" w:sz="4" w:space="0" w:color="auto"/>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53.976</w:t>
            </w:r>
          </w:p>
        </w:tc>
        <w:tc>
          <w:tcPr>
            <w:tcW w:w="1740" w:type="dxa"/>
            <w:tcBorders>
              <w:top w:val="single" w:sz="4" w:space="0" w:color="auto"/>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62.198</w:t>
            </w:r>
          </w:p>
        </w:tc>
        <w:tc>
          <w:tcPr>
            <w:tcW w:w="1740" w:type="dxa"/>
            <w:tcBorders>
              <w:top w:val="single" w:sz="4" w:space="0" w:color="auto"/>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+8.223</w:t>
            </w:r>
          </w:p>
        </w:tc>
        <w:tc>
          <w:tcPr>
            <w:tcW w:w="1740" w:type="dxa"/>
            <w:tcBorders>
              <w:top w:val="single" w:sz="4" w:space="0" w:color="auto"/>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+15,2</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ascii="Tahoma" w:eastAsia="Times New Roman" w:hAnsi="Tahoma" w:cs="Tahoma"/>
                <w:color w:val="000000"/>
                <w:sz w:val="20"/>
                <w:szCs w:val="20"/>
                <w:lang w:eastAsia="it-IT"/>
              </w:rPr>
            </w:pP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NORD EST</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46.832</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54.301</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+7.469</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+15,9</w:t>
            </w:r>
          </w:p>
        </w:tc>
      </w:tr>
      <w:tr w:rsidR="009739BA" w:rsidRPr="00CE2D12" w:rsidTr="000238F3">
        <w:trPr>
          <w:trHeight w:val="300"/>
        </w:trPr>
        <w:tc>
          <w:tcPr>
            <w:tcW w:w="1140" w:type="dxa"/>
            <w:tcBorders>
              <w:top w:val="nil"/>
              <w:left w:val="nil"/>
              <w:bottom w:val="nil"/>
              <w:right w:val="nil"/>
            </w:tcBorders>
            <w:noWrap/>
            <w:vAlign w:val="bottom"/>
            <w:hideMark/>
          </w:tcPr>
          <w:p w:rsidR="009739BA" w:rsidRPr="00CE2D12" w:rsidRDefault="009739BA" w:rsidP="000238F3">
            <w:pPr>
              <w:spacing w:after="0" w:line="240" w:lineRule="auto"/>
              <w:jc w:val="center"/>
              <w:rPr>
                <w:rFonts w:ascii="Tahoma" w:eastAsia="Times New Roman" w:hAnsi="Tahoma" w:cs="Tahoma"/>
                <w:color w:val="000000"/>
                <w:sz w:val="20"/>
                <w:szCs w:val="20"/>
                <w:lang w:eastAsia="it-IT"/>
              </w:rPr>
            </w:pPr>
          </w:p>
        </w:tc>
        <w:tc>
          <w:tcPr>
            <w:tcW w:w="2400" w:type="dxa"/>
            <w:tcBorders>
              <w:top w:val="nil"/>
              <w:left w:val="nil"/>
              <w:bottom w:val="nil"/>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CENTRO</w:t>
            </w:r>
          </w:p>
        </w:tc>
        <w:tc>
          <w:tcPr>
            <w:tcW w:w="1740" w:type="dxa"/>
            <w:tcBorders>
              <w:top w:val="nil"/>
              <w:left w:val="single" w:sz="4" w:space="0" w:color="auto"/>
              <w:bottom w:val="nil"/>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33.848</w:t>
            </w:r>
          </w:p>
        </w:tc>
        <w:tc>
          <w:tcPr>
            <w:tcW w:w="1740" w:type="dxa"/>
            <w:tcBorders>
              <w:top w:val="nil"/>
              <w:left w:val="nil"/>
              <w:bottom w:val="nil"/>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39.312</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+5.463</w:t>
            </w:r>
          </w:p>
        </w:tc>
        <w:tc>
          <w:tcPr>
            <w:tcW w:w="1740" w:type="dxa"/>
            <w:tcBorders>
              <w:top w:val="nil"/>
              <w:left w:val="nil"/>
              <w:bottom w:val="nil"/>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+16,1</w:t>
            </w:r>
          </w:p>
        </w:tc>
      </w:tr>
      <w:tr w:rsidR="009739BA" w:rsidRPr="00CE2D12" w:rsidTr="000238F3">
        <w:trPr>
          <w:trHeight w:val="300"/>
        </w:trPr>
        <w:tc>
          <w:tcPr>
            <w:tcW w:w="1140" w:type="dxa"/>
            <w:tcBorders>
              <w:top w:val="nil"/>
              <w:left w:val="nil"/>
              <w:bottom w:val="single" w:sz="4" w:space="0" w:color="auto"/>
              <w:right w:val="nil"/>
            </w:tcBorders>
            <w:noWrap/>
            <w:vAlign w:val="bottom"/>
            <w:hideMark/>
          </w:tcPr>
          <w:p w:rsidR="009739BA" w:rsidRPr="00CE2D12" w:rsidRDefault="009739BA" w:rsidP="000238F3">
            <w:pPr>
              <w:spacing w:after="0" w:line="240" w:lineRule="auto"/>
              <w:rPr>
                <w:rFonts w:eastAsia="Times New Roman" w:cs="Calibri"/>
                <w:color w:val="000000"/>
                <w:lang w:eastAsia="it-IT"/>
              </w:rPr>
            </w:pPr>
            <w:r w:rsidRPr="00CE2D12">
              <w:rPr>
                <w:rFonts w:eastAsia="Times New Roman" w:cs="Calibri"/>
                <w:color w:val="000000"/>
                <w:lang w:eastAsia="it-IT"/>
              </w:rPr>
              <w:t> </w:t>
            </w:r>
          </w:p>
        </w:tc>
        <w:tc>
          <w:tcPr>
            <w:tcW w:w="2400" w:type="dxa"/>
            <w:tcBorders>
              <w:top w:val="nil"/>
              <w:left w:val="nil"/>
              <w:bottom w:val="single" w:sz="4" w:space="0" w:color="auto"/>
              <w:right w:val="nil"/>
            </w:tcBorders>
            <w:vAlign w:val="center"/>
            <w:hideMark/>
          </w:tcPr>
          <w:p w:rsidR="009739BA" w:rsidRPr="00CE2D12" w:rsidRDefault="009739BA" w:rsidP="000238F3">
            <w:pPr>
              <w:spacing w:after="0" w:line="240" w:lineRule="auto"/>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MEZZOGIORNO</w:t>
            </w:r>
          </w:p>
        </w:tc>
        <w:tc>
          <w:tcPr>
            <w:tcW w:w="1740" w:type="dxa"/>
            <w:tcBorders>
              <w:top w:val="nil"/>
              <w:left w:val="single" w:sz="4" w:space="0" w:color="auto"/>
              <w:bottom w:val="single" w:sz="4" w:space="0" w:color="auto"/>
              <w:right w:val="nil"/>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46.060</w:t>
            </w:r>
          </w:p>
        </w:tc>
        <w:tc>
          <w:tcPr>
            <w:tcW w:w="1740" w:type="dxa"/>
            <w:tcBorders>
              <w:top w:val="nil"/>
              <w:left w:val="nil"/>
              <w:bottom w:val="single" w:sz="4" w:space="0" w:color="auto"/>
              <w:right w:val="single" w:sz="4" w:space="0" w:color="auto"/>
            </w:tcBorders>
            <w:noWrap/>
            <w:vAlign w:val="center"/>
            <w:hideMark/>
          </w:tcPr>
          <w:p w:rsidR="009739BA" w:rsidRPr="00CE2D12" w:rsidRDefault="009739BA" w:rsidP="000238F3">
            <w:pPr>
              <w:spacing w:after="0" w:line="240" w:lineRule="auto"/>
              <w:jc w:val="center"/>
              <w:rPr>
                <w:rFonts w:ascii="Tahoma" w:eastAsia="Times New Roman" w:hAnsi="Tahoma" w:cs="Tahoma"/>
                <w:color w:val="000000"/>
                <w:sz w:val="18"/>
                <w:szCs w:val="18"/>
                <w:lang w:eastAsia="it-IT"/>
              </w:rPr>
            </w:pPr>
            <w:r w:rsidRPr="00CE2D12">
              <w:rPr>
                <w:rFonts w:ascii="Tahoma" w:eastAsia="Times New Roman" w:hAnsi="Tahoma" w:cs="Tahoma"/>
                <w:color w:val="000000"/>
                <w:sz w:val="18"/>
                <w:szCs w:val="18"/>
                <w:lang w:eastAsia="it-IT"/>
              </w:rPr>
              <w:t>53.818</w:t>
            </w:r>
          </w:p>
        </w:tc>
        <w:tc>
          <w:tcPr>
            <w:tcW w:w="1740" w:type="dxa"/>
            <w:tcBorders>
              <w:top w:val="nil"/>
              <w:left w:val="nil"/>
              <w:bottom w:val="single" w:sz="4" w:space="0" w:color="auto"/>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+7.758</w:t>
            </w:r>
          </w:p>
        </w:tc>
        <w:tc>
          <w:tcPr>
            <w:tcW w:w="1740" w:type="dxa"/>
            <w:tcBorders>
              <w:top w:val="nil"/>
              <w:left w:val="nil"/>
              <w:bottom w:val="single" w:sz="4" w:space="0" w:color="auto"/>
              <w:right w:val="nil"/>
            </w:tcBorders>
            <w:noWrap/>
            <w:vAlign w:val="center"/>
            <w:hideMark/>
          </w:tcPr>
          <w:p w:rsidR="009739BA" w:rsidRPr="00662830" w:rsidRDefault="009739BA" w:rsidP="000238F3">
            <w:pPr>
              <w:spacing w:after="0" w:line="240" w:lineRule="auto"/>
              <w:jc w:val="center"/>
              <w:rPr>
                <w:rFonts w:ascii="Tahoma" w:eastAsia="Times New Roman" w:hAnsi="Tahoma" w:cs="Tahoma"/>
                <w:color w:val="000000"/>
                <w:sz w:val="18"/>
                <w:szCs w:val="18"/>
                <w:lang w:eastAsia="it-IT"/>
              </w:rPr>
            </w:pPr>
            <w:r w:rsidRPr="00662830">
              <w:rPr>
                <w:rFonts w:ascii="Tahoma" w:eastAsia="Times New Roman" w:hAnsi="Tahoma" w:cs="Tahoma"/>
                <w:color w:val="000000"/>
                <w:sz w:val="18"/>
                <w:szCs w:val="18"/>
                <w:lang w:eastAsia="it-IT"/>
              </w:rPr>
              <w:t>+16,8</w:t>
            </w:r>
          </w:p>
        </w:tc>
      </w:tr>
    </w:tbl>
    <w:p w:rsidR="009739BA" w:rsidRPr="009C77B4" w:rsidRDefault="009739BA" w:rsidP="009739BA">
      <w:pPr>
        <w:spacing w:before="120" w:after="0" w:line="240" w:lineRule="auto"/>
        <w:jc w:val="center"/>
        <w:rPr>
          <w:rFonts w:ascii="Verdana" w:hAnsi="Verdana" w:cs="Tahoma"/>
          <w:sz w:val="18"/>
          <w:szCs w:val="18"/>
        </w:rPr>
      </w:pPr>
      <w:r w:rsidRPr="009C77B4">
        <w:rPr>
          <w:rFonts w:ascii="Verdana" w:hAnsi="Verdana" w:cs="Tahoma"/>
          <w:sz w:val="18"/>
          <w:szCs w:val="18"/>
        </w:rPr>
        <w:t>Elaborazione Ufficio Studi CGI</w:t>
      </w:r>
      <w:r>
        <w:rPr>
          <w:rFonts w:ascii="Verdana" w:hAnsi="Verdana" w:cs="Tahoma"/>
          <w:sz w:val="18"/>
          <w:szCs w:val="18"/>
        </w:rPr>
        <w:t xml:space="preserve">A su dati MASE, Terna, </w:t>
      </w:r>
      <w:proofErr w:type="spellStart"/>
      <w:r>
        <w:rPr>
          <w:rFonts w:ascii="Verdana" w:hAnsi="Verdana" w:cs="Tahoma"/>
          <w:sz w:val="18"/>
          <w:szCs w:val="18"/>
        </w:rPr>
        <w:t>Arera</w:t>
      </w:r>
      <w:proofErr w:type="spellEnd"/>
      <w:r>
        <w:rPr>
          <w:rFonts w:ascii="Verdana" w:hAnsi="Verdana" w:cs="Tahoma"/>
          <w:sz w:val="18"/>
          <w:szCs w:val="18"/>
        </w:rPr>
        <w:t>, Eurostat e GME</w:t>
      </w:r>
    </w:p>
    <w:p w:rsidR="009739BA" w:rsidRDefault="009739BA" w:rsidP="009739BA">
      <w:pPr>
        <w:spacing w:after="0"/>
        <w:rPr>
          <w:rFonts w:ascii="Verdana" w:hAnsi="Verdana"/>
          <w:sz w:val="18"/>
          <w:szCs w:val="18"/>
        </w:rPr>
      </w:pPr>
    </w:p>
    <w:p w:rsidR="009739BA" w:rsidRDefault="009739BA" w:rsidP="009739BA">
      <w:pPr>
        <w:spacing w:after="0"/>
        <w:rPr>
          <w:rFonts w:ascii="Verdana" w:hAnsi="Verdana"/>
          <w:sz w:val="18"/>
          <w:szCs w:val="18"/>
        </w:rPr>
      </w:pPr>
      <w:r>
        <w:rPr>
          <w:rFonts w:ascii="Verdana" w:hAnsi="Verdana"/>
          <w:sz w:val="18"/>
          <w:szCs w:val="18"/>
        </w:rPr>
        <w:t>(*) Dati relativi a carburanti (benzina e gasolio motori), energia elettrica e gas.</w:t>
      </w:r>
    </w:p>
    <w:p w:rsidR="009739BA" w:rsidRDefault="009739BA" w:rsidP="009739BA">
      <w:pPr>
        <w:spacing w:after="0"/>
        <w:rPr>
          <w:rFonts w:ascii="Verdana" w:hAnsi="Verdana"/>
          <w:sz w:val="18"/>
          <w:szCs w:val="18"/>
        </w:rPr>
      </w:pPr>
    </w:p>
    <w:p w:rsidR="009739BA" w:rsidRDefault="009739BA" w:rsidP="009739BA">
      <w:pPr>
        <w:spacing w:after="0"/>
        <w:rPr>
          <w:rFonts w:ascii="Verdana" w:hAnsi="Verdana"/>
          <w:sz w:val="18"/>
          <w:szCs w:val="18"/>
        </w:rPr>
      </w:pPr>
    </w:p>
    <w:p w:rsidR="009739BA" w:rsidRDefault="009739BA" w:rsidP="009739BA">
      <w:pPr>
        <w:spacing w:after="0"/>
        <w:jc w:val="center"/>
        <w:rPr>
          <w:rFonts w:ascii="Verdana" w:hAnsi="Verdana"/>
          <w:sz w:val="18"/>
          <w:szCs w:val="18"/>
        </w:rPr>
      </w:pPr>
    </w:p>
    <w:p w:rsidR="00487EF2" w:rsidRDefault="00487EF2" w:rsidP="001553EF">
      <w:pPr>
        <w:spacing w:before="100" w:beforeAutospacing="1" w:after="100" w:afterAutospacing="1" w:line="360" w:lineRule="auto"/>
        <w:contextualSpacing/>
        <w:jc w:val="both"/>
        <w:rPr>
          <w:rFonts w:ascii="Verdana" w:hAnsi="Verdana"/>
          <w:b/>
          <w:sz w:val="28"/>
          <w:szCs w:val="28"/>
        </w:rPr>
      </w:pPr>
    </w:p>
    <w:p w:rsidR="00FC034D" w:rsidRDefault="00FC034D" w:rsidP="001553EF">
      <w:pPr>
        <w:spacing w:before="100" w:beforeAutospacing="1" w:after="100" w:afterAutospacing="1" w:line="360" w:lineRule="auto"/>
        <w:contextualSpacing/>
        <w:jc w:val="both"/>
        <w:rPr>
          <w:rFonts w:ascii="Verdana" w:hAnsi="Verdana"/>
          <w:b/>
          <w:sz w:val="28"/>
          <w:szCs w:val="28"/>
        </w:rPr>
      </w:pPr>
    </w:p>
    <w:p w:rsidR="00FC034D" w:rsidRDefault="00FC034D" w:rsidP="001553EF">
      <w:pPr>
        <w:spacing w:before="100" w:beforeAutospacing="1" w:after="100" w:afterAutospacing="1" w:line="360" w:lineRule="auto"/>
        <w:contextualSpacing/>
        <w:jc w:val="both"/>
        <w:rPr>
          <w:rFonts w:ascii="Verdana" w:hAnsi="Verdana"/>
          <w:b/>
          <w:sz w:val="28"/>
          <w:szCs w:val="28"/>
        </w:rPr>
      </w:pPr>
    </w:p>
    <w:p w:rsidR="00FC034D" w:rsidRDefault="00FC034D" w:rsidP="001553EF">
      <w:pPr>
        <w:spacing w:before="100" w:beforeAutospacing="1" w:after="100" w:afterAutospacing="1" w:line="360" w:lineRule="auto"/>
        <w:contextualSpacing/>
        <w:jc w:val="both"/>
        <w:rPr>
          <w:rFonts w:ascii="Verdana" w:hAnsi="Verdana"/>
          <w:b/>
          <w:sz w:val="28"/>
          <w:szCs w:val="28"/>
        </w:rPr>
      </w:pPr>
    </w:p>
    <w:p w:rsidR="00FC034D" w:rsidRDefault="00FC034D" w:rsidP="00FC034D">
      <w:pPr>
        <w:spacing w:after="0" w:line="240" w:lineRule="auto"/>
        <w:contextualSpacing/>
        <w:jc w:val="center"/>
        <w:rPr>
          <w:rFonts w:ascii="Verdana" w:hAnsi="Verdana"/>
          <w:b/>
          <w:sz w:val="21"/>
          <w:szCs w:val="21"/>
        </w:rPr>
      </w:pPr>
      <w:r>
        <w:rPr>
          <w:rFonts w:ascii="Verdana" w:hAnsi="Verdana"/>
          <w:b/>
          <w:sz w:val="21"/>
          <w:szCs w:val="21"/>
        </w:rPr>
        <w:lastRenderedPageBreak/>
        <w:t xml:space="preserve">Graf. 1 – Andamento prezzo CARBURANTI nel 2026 </w:t>
      </w:r>
      <w:r>
        <w:rPr>
          <w:rFonts w:ascii="Verdana" w:hAnsi="Verdana"/>
          <w:sz w:val="20"/>
          <w:szCs w:val="21"/>
        </w:rPr>
        <w:t>(prezzi mensili in euro al litro)</w:t>
      </w:r>
      <w:r>
        <w:rPr>
          <w:rFonts w:ascii="Verdana" w:hAnsi="Verdana"/>
          <w:b/>
          <w:sz w:val="21"/>
          <w:szCs w:val="21"/>
        </w:rPr>
        <w:t xml:space="preserve"> </w:t>
      </w:r>
    </w:p>
    <w:p w:rsidR="00FC034D" w:rsidRDefault="00FC034D" w:rsidP="00FC034D">
      <w:pPr>
        <w:spacing w:after="0" w:line="240" w:lineRule="auto"/>
        <w:contextualSpacing/>
        <w:jc w:val="center"/>
        <w:rPr>
          <w:rFonts w:ascii="Verdana" w:hAnsi="Verdana"/>
          <w:b/>
          <w:sz w:val="21"/>
          <w:szCs w:val="21"/>
        </w:rPr>
      </w:pPr>
      <w:r>
        <w:rPr>
          <w:rFonts w:ascii="Verdana" w:hAnsi="Verdana"/>
          <w:b/>
          <w:sz w:val="21"/>
          <w:szCs w:val="21"/>
        </w:rPr>
        <w:t xml:space="preserve">e variazione da scoppio conflitto </w:t>
      </w:r>
      <w:r>
        <w:rPr>
          <w:rFonts w:ascii="Verdana" w:hAnsi="Verdana"/>
          <w:sz w:val="20"/>
          <w:szCs w:val="21"/>
        </w:rPr>
        <w:t>(prezzi medi settimanali)</w:t>
      </w:r>
    </w:p>
    <w:p w:rsidR="00FC034D" w:rsidRDefault="00FC034D" w:rsidP="00FC034D">
      <w:pPr>
        <w:spacing w:before="120" w:after="0" w:line="240" w:lineRule="auto"/>
        <w:contextualSpacing/>
        <w:jc w:val="center"/>
        <w:rPr>
          <w:rFonts w:ascii="Verdana" w:hAnsi="Verdana" w:cs="Tahoma"/>
          <w:sz w:val="18"/>
          <w:szCs w:val="18"/>
        </w:rPr>
      </w:pPr>
      <w:r>
        <w:rPr>
          <w:rFonts w:ascii="Verdana" w:hAnsi="Verdana" w:cs="Tahoma"/>
          <w:noProof/>
          <w:sz w:val="18"/>
          <w:szCs w:val="18"/>
        </w:rPr>
        <w:drawing>
          <wp:inline distT="0" distB="0" distL="0" distR="0">
            <wp:extent cx="6343650" cy="32289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3650" cy="3228975"/>
                    </a:xfrm>
                    <a:prstGeom prst="rect">
                      <a:avLst/>
                    </a:prstGeom>
                    <a:noFill/>
                    <a:ln>
                      <a:noFill/>
                    </a:ln>
                  </pic:spPr>
                </pic:pic>
              </a:graphicData>
            </a:graphic>
          </wp:inline>
        </w:drawing>
      </w:r>
    </w:p>
    <w:p w:rsidR="00FC034D" w:rsidRDefault="00FC034D" w:rsidP="00FC034D">
      <w:pPr>
        <w:spacing w:before="120" w:after="120" w:line="240" w:lineRule="auto"/>
        <w:contextualSpacing/>
        <w:jc w:val="center"/>
        <w:rPr>
          <w:rFonts w:ascii="Verdana" w:hAnsi="Verdana" w:cs="Tahoma"/>
          <w:sz w:val="18"/>
          <w:szCs w:val="18"/>
        </w:rPr>
      </w:pPr>
      <w:r>
        <w:rPr>
          <w:rFonts w:ascii="Verdana" w:hAnsi="Verdana" w:cs="Tahoma"/>
          <w:sz w:val="18"/>
          <w:szCs w:val="18"/>
        </w:rPr>
        <w:t xml:space="preserve">Elaborazione Ufficio Studi CGIA su dati </w:t>
      </w:r>
      <w:r>
        <w:rPr>
          <w:rFonts w:ascii="Verdana" w:hAnsi="Verdana"/>
          <w:sz w:val="18"/>
          <w:szCs w:val="18"/>
        </w:rPr>
        <w:t>Ministero dell'ambiente e della sicurezza energetica</w:t>
      </w:r>
      <w:r>
        <w:rPr>
          <w:rFonts w:ascii="Verdana" w:hAnsi="Verdana" w:cs="Tahoma"/>
          <w:sz w:val="18"/>
          <w:szCs w:val="18"/>
        </w:rPr>
        <w:t xml:space="preserve"> (MASE)</w:t>
      </w:r>
    </w:p>
    <w:p w:rsidR="00FC034D" w:rsidRDefault="00FC034D" w:rsidP="00FC034D">
      <w:pPr>
        <w:spacing w:after="120" w:line="240" w:lineRule="auto"/>
        <w:contextualSpacing/>
        <w:jc w:val="both"/>
        <w:rPr>
          <w:rFonts w:ascii="Verdana" w:hAnsi="Verdana"/>
          <w:sz w:val="15"/>
          <w:szCs w:val="15"/>
        </w:rPr>
      </w:pPr>
      <w:r>
        <w:rPr>
          <w:rFonts w:ascii="Verdana" w:hAnsi="Verdana"/>
          <w:sz w:val="15"/>
          <w:szCs w:val="15"/>
        </w:rPr>
        <w:t>(*) Prezzo medio settimana dal 13/07/2026 al 19/07/2026. Nota: prezzi praticati in modalità self-service.</w:t>
      </w:r>
    </w:p>
    <w:p w:rsidR="00FC034D" w:rsidRDefault="00FC034D" w:rsidP="00FC034D">
      <w:pPr>
        <w:spacing w:after="0" w:line="240" w:lineRule="auto"/>
        <w:contextualSpacing/>
        <w:jc w:val="center"/>
        <w:rPr>
          <w:rFonts w:ascii="Verdana" w:hAnsi="Verdana"/>
          <w:b/>
          <w:sz w:val="21"/>
          <w:szCs w:val="21"/>
        </w:rPr>
      </w:pPr>
    </w:p>
    <w:p w:rsidR="00FC034D" w:rsidRDefault="00FC034D" w:rsidP="00FC034D">
      <w:pPr>
        <w:spacing w:after="0" w:line="240" w:lineRule="auto"/>
        <w:contextualSpacing/>
        <w:jc w:val="center"/>
        <w:rPr>
          <w:rFonts w:ascii="Verdana" w:hAnsi="Verdana"/>
          <w:b/>
          <w:sz w:val="21"/>
          <w:szCs w:val="21"/>
        </w:rPr>
      </w:pPr>
    </w:p>
    <w:p w:rsidR="00FC034D" w:rsidRDefault="00FC034D" w:rsidP="00FC034D">
      <w:pPr>
        <w:spacing w:after="120" w:line="240" w:lineRule="auto"/>
        <w:contextualSpacing/>
        <w:jc w:val="center"/>
        <w:rPr>
          <w:rFonts w:ascii="Verdana" w:hAnsi="Verdana"/>
          <w:b/>
          <w:sz w:val="21"/>
          <w:szCs w:val="21"/>
        </w:rPr>
      </w:pPr>
      <w:r>
        <w:rPr>
          <w:rFonts w:ascii="Verdana" w:hAnsi="Verdana"/>
          <w:b/>
          <w:sz w:val="21"/>
          <w:szCs w:val="21"/>
        </w:rPr>
        <w:t xml:space="preserve">Graf. 2 – Andamento prezzo borsa GAS e ENERGIA ELETTRICA nel 2026 </w:t>
      </w:r>
      <w:r>
        <w:rPr>
          <w:rFonts w:ascii="Verdana" w:hAnsi="Verdana"/>
          <w:sz w:val="20"/>
          <w:szCs w:val="21"/>
        </w:rPr>
        <w:t>(prezzi mensili in euro per MWh)</w:t>
      </w:r>
      <w:r>
        <w:rPr>
          <w:rFonts w:ascii="Verdana" w:hAnsi="Verdana"/>
          <w:b/>
          <w:sz w:val="21"/>
          <w:szCs w:val="21"/>
        </w:rPr>
        <w:t xml:space="preserve"> e variazione da scoppio conflitto </w:t>
      </w:r>
      <w:r>
        <w:rPr>
          <w:rFonts w:ascii="Verdana" w:hAnsi="Verdana"/>
          <w:sz w:val="20"/>
          <w:szCs w:val="21"/>
        </w:rPr>
        <w:t>(prezzi medi settimanali)</w:t>
      </w:r>
    </w:p>
    <w:p w:rsidR="00FC034D" w:rsidRDefault="00FC034D" w:rsidP="00FC034D">
      <w:pPr>
        <w:spacing w:after="0" w:line="240" w:lineRule="auto"/>
        <w:contextualSpacing/>
        <w:jc w:val="center"/>
        <w:rPr>
          <w:rFonts w:ascii="Verdana" w:hAnsi="Verdana"/>
          <w:b/>
          <w:sz w:val="21"/>
          <w:szCs w:val="21"/>
        </w:rPr>
      </w:pPr>
      <w:r>
        <w:rPr>
          <w:rFonts w:ascii="Verdana" w:hAnsi="Verdana"/>
          <w:b/>
          <w:noProof/>
          <w:sz w:val="21"/>
          <w:szCs w:val="21"/>
        </w:rPr>
        <w:drawing>
          <wp:inline distT="0" distB="0" distL="0" distR="0">
            <wp:extent cx="6334125" cy="309562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4125" cy="3095625"/>
                    </a:xfrm>
                    <a:prstGeom prst="rect">
                      <a:avLst/>
                    </a:prstGeom>
                    <a:noFill/>
                    <a:ln>
                      <a:noFill/>
                    </a:ln>
                  </pic:spPr>
                </pic:pic>
              </a:graphicData>
            </a:graphic>
          </wp:inline>
        </w:drawing>
      </w:r>
    </w:p>
    <w:p w:rsidR="00FC034D" w:rsidRDefault="00FC034D" w:rsidP="00FC034D">
      <w:pPr>
        <w:spacing w:before="120" w:after="0" w:line="240" w:lineRule="auto"/>
        <w:contextualSpacing/>
        <w:jc w:val="center"/>
        <w:rPr>
          <w:rFonts w:ascii="Verdana" w:hAnsi="Verdana"/>
          <w:sz w:val="18"/>
          <w:szCs w:val="18"/>
        </w:rPr>
      </w:pPr>
      <w:r>
        <w:rPr>
          <w:rFonts w:ascii="Verdana" w:hAnsi="Verdana" w:cs="Tahoma"/>
          <w:sz w:val="18"/>
          <w:szCs w:val="18"/>
        </w:rPr>
        <w:t xml:space="preserve">Elaborazione Ufficio Studi CGIA su dati </w:t>
      </w:r>
      <w:r>
        <w:rPr>
          <w:rFonts w:ascii="Verdana" w:hAnsi="Verdana"/>
          <w:sz w:val="18"/>
          <w:szCs w:val="18"/>
        </w:rPr>
        <w:t>Gestore Mercati Energetici (GME)</w:t>
      </w:r>
    </w:p>
    <w:p w:rsidR="00FC034D" w:rsidRDefault="00FC034D" w:rsidP="00FC034D">
      <w:pPr>
        <w:spacing w:before="120" w:after="240" w:line="240" w:lineRule="auto"/>
        <w:rPr>
          <w:rFonts w:ascii="Verdana" w:hAnsi="Verdana"/>
          <w:sz w:val="15"/>
          <w:szCs w:val="15"/>
        </w:rPr>
      </w:pPr>
      <w:r>
        <w:rPr>
          <w:rFonts w:ascii="Verdana" w:hAnsi="Verdana"/>
          <w:sz w:val="15"/>
          <w:szCs w:val="15"/>
        </w:rPr>
        <w:t>(*) Prezzo medio settimana dal 13/07/2026 al 19/07/2026.</w:t>
      </w:r>
    </w:p>
    <w:p w:rsidR="00C1460D" w:rsidRDefault="00C1460D" w:rsidP="00C1460D">
      <w:pPr>
        <w:spacing w:after="0"/>
        <w:jc w:val="center"/>
        <w:rPr>
          <w:rFonts w:ascii="Verdana" w:hAnsi="Verdana"/>
          <w:b/>
          <w:sz w:val="21"/>
          <w:szCs w:val="21"/>
        </w:rPr>
      </w:pPr>
      <w:proofErr w:type="spellStart"/>
      <w:r>
        <w:rPr>
          <w:rFonts w:ascii="Verdana" w:hAnsi="Verdana"/>
          <w:b/>
          <w:sz w:val="21"/>
          <w:szCs w:val="21"/>
        </w:rPr>
        <w:lastRenderedPageBreak/>
        <w:t>Tab</w:t>
      </w:r>
      <w:proofErr w:type="spellEnd"/>
      <w:r>
        <w:rPr>
          <w:rFonts w:ascii="Verdana" w:hAnsi="Verdana"/>
          <w:b/>
          <w:sz w:val="21"/>
          <w:szCs w:val="21"/>
        </w:rPr>
        <w:t xml:space="preserve">. 3 – Stima rincari sui CARBURANTI </w:t>
      </w:r>
      <w:r>
        <w:rPr>
          <w:rFonts w:ascii="Verdana" w:hAnsi="Verdana"/>
          <w:bCs/>
          <w:sz w:val="21"/>
          <w:szCs w:val="21"/>
        </w:rPr>
        <w:t>(benzina e gasolio)</w:t>
      </w:r>
      <w:r>
        <w:rPr>
          <w:rFonts w:ascii="Verdana" w:hAnsi="Verdana"/>
          <w:b/>
          <w:sz w:val="21"/>
          <w:szCs w:val="21"/>
        </w:rPr>
        <w:t xml:space="preserve"> per </w:t>
      </w:r>
      <w:r>
        <w:rPr>
          <w:rFonts w:ascii="Verdana" w:hAnsi="Verdana"/>
          <w:b/>
          <w:sz w:val="21"/>
          <w:szCs w:val="21"/>
          <w:u w:val="single"/>
        </w:rPr>
        <w:t>IMPRESE e FAMIGLIE</w:t>
      </w:r>
      <w:r>
        <w:rPr>
          <w:rFonts w:ascii="Verdana" w:hAnsi="Verdana"/>
          <w:b/>
          <w:sz w:val="21"/>
          <w:szCs w:val="21"/>
        </w:rPr>
        <w:t xml:space="preserve"> </w:t>
      </w:r>
    </w:p>
    <w:p w:rsidR="00C1460D" w:rsidRDefault="00C1460D" w:rsidP="00C1460D">
      <w:pPr>
        <w:spacing w:after="0"/>
        <w:jc w:val="center"/>
        <w:rPr>
          <w:rFonts w:ascii="Verdana" w:hAnsi="Verdana"/>
          <w:sz w:val="20"/>
          <w:szCs w:val="21"/>
        </w:rPr>
      </w:pPr>
      <w:r>
        <w:rPr>
          <w:rFonts w:ascii="Verdana" w:hAnsi="Verdana"/>
          <w:sz w:val="20"/>
          <w:szCs w:val="21"/>
        </w:rPr>
        <w:t xml:space="preserve">DATI REGIONALI - Valori in milioni di euro e </w:t>
      </w:r>
      <w:proofErr w:type="spellStart"/>
      <w:r>
        <w:rPr>
          <w:rFonts w:ascii="Verdana" w:hAnsi="Verdana"/>
          <w:sz w:val="20"/>
          <w:szCs w:val="21"/>
        </w:rPr>
        <w:t>var</w:t>
      </w:r>
      <w:proofErr w:type="spellEnd"/>
      <w:r>
        <w:rPr>
          <w:rFonts w:ascii="Verdana" w:hAnsi="Verdana"/>
          <w:sz w:val="20"/>
          <w:szCs w:val="21"/>
        </w:rPr>
        <w:t>. %</w:t>
      </w:r>
    </w:p>
    <w:tbl>
      <w:tblPr>
        <w:tblW w:w="5000" w:type="pct"/>
        <w:tblCellMar>
          <w:left w:w="70" w:type="dxa"/>
          <w:right w:w="70" w:type="dxa"/>
        </w:tblCellMar>
        <w:tblLook w:val="04A0" w:firstRow="1" w:lastRow="0" w:firstColumn="1" w:lastColumn="0" w:noHBand="0" w:noVBand="1"/>
      </w:tblPr>
      <w:tblGrid>
        <w:gridCol w:w="928"/>
        <w:gridCol w:w="2320"/>
        <w:gridCol w:w="1681"/>
        <w:gridCol w:w="1681"/>
        <w:gridCol w:w="1681"/>
        <w:gridCol w:w="1681"/>
      </w:tblGrid>
      <w:tr w:rsidR="00C1460D" w:rsidTr="00C1460D">
        <w:trPr>
          <w:trHeight w:val="660"/>
        </w:trPr>
        <w:tc>
          <w:tcPr>
            <w:tcW w:w="465"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Rank</w:t>
            </w:r>
            <w:proofErr w:type="spellEnd"/>
            <w:r>
              <w:rPr>
                <w:rFonts w:ascii="Tahoma" w:eastAsia="Times New Roman" w:hAnsi="Tahoma" w:cs="Tahoma"/>
                <w:b/>
                <w:bCs/>
                <w:color w:val="FFFFFF"/>
                <w:sz w:val="20"/>
                <w:szCs w:val="20"/>
                <w:lang w:eastAsia="it-IT"/>
              </w:rPr>
              <w:t xml:space="preserve"> per </w:t>
            </w:r>
            <w:r>
              <w:rPr>
                <w:rFonts w:ascii="Tahoma" w:eastAsia="Times New Roman" w:hAnsi="Tahoma" w:cs="Tahoma"/>
                <w:b/>
                <w:bCs/>
                <w:color w:val="FFFFFF"/>
                <w:sz w:val="20"/>
                <w:szCs w:val="20"/>
                <w:lang w:eastAsia="it-IT"/>
              </w:rPr>
              <w:br/>
            </w: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w:t>
            </w:r>
          </w:p>
        </w:tc>
        <w:tc>
          <w:tcPr>
            <w:tcW w:w="116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 xml:space="preserve">Regioni e </w:t>
            </w:r>
            <w:r>
              <w:rPr>
                <w:rFonts w:ascii="Tahoma" w:eastAsia="Times New Roman" w:hAnsi="Tahoma" w:cs="Tahoma"/>
                <w:b/>
                <w:bCs/>
                <w:color w:val="FFFFFF"/>
                <w:sz w:val="20"/>
                <w:szCs w:val="20"/>
                <w:lang w:eastAsia="it-IT"/>
              </w:rPr>
              <w:br/>
              <w:t>ripartizioni</w:t>
            </w:r>
          </w:p>
        </w:tc>
        <w:tc>
          <w:tcPr>
            <w:tcW w:w="843" w:type="pct"/>
            <w:tcBorders>
              <w:top w:val="single" w:sz="4" w:space="0" w:color="auto"/>
              <w:left w:val="single" w:sz="4" w:space="0" w:color="FFFFFF"/>
              <w:bottom w:val="single" w:sz="4" w:space="0" w:color="auto"/>
              <w:right w:val="nil"/>
            </w:tcBorders>
            <w:shd w:val="clear" w:color="auto" w:fill="0000FF"/>
            <w:noWrap/>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2025</w:t>
            </w:r>
          </w:p>
        </w:tc>
        <w:tc>
          <w:tcPr>
            <w:tcW w:w="843" w:type="pct"/>
            <w:tcBorders>
              <w:top w:val="single" w:sz="4" w:space="0" w:color="auto"/>
              <w:left w:val="nil"/>
              <w:bottom w:val="single" w:sz="4" w:space="0" w:color="auto"/>
              <w:right w:val="single" w:sz="4" w:space="0" w:color="FFFFFF"/>
            </w:tcBorders>
            <w:shd w:val="clear" w:color="auto" w:fill="0000FF"/>
            <w:noWrap/>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2026</w:t>
            </w:r>
          </w:p>
        </w:tc>
        <w:tc>
          <w:tcPr>
            <w:tcW w:w="84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xml:space="preserve">. </w:t>
            </w:r>
            <w:proofErr w:type="spellStart"/>
            <w:r>
              <w:rPr>
                <w:rFonts w:ascii="Tahoma" w:eastAsia="Times New Roman" w:hAnsi="Tahoma" w:cs="Tahoma"/>
                <w:b/>
                <w:bCs/>
                <w:color w:val="FFFFFF"/>
                <w:sz w:val="20"/>
                <w:szCs w:val="20"/>
                <w:lang w:eastAsia="it-IT"/>
              </w:rPr>
              <w:t>ass</w:t>
            </w:r>
            <w:proofErr w:type="spellEnd"/>
            <w:r>
              <w:rPr>
                <w:rFonts w:ascii="Tahoma" w:eastAsia="Times New Roman" w:hAnsi="Tahoma" w:cs="Tahoma"/>
                <w:b/>
                <w:bCs/>
                <w:color w:val="FFFFFF"/>
                <w:sz w:val="20"/>
                <w:szCs w:val="20"/>
                <w:lang w:eastAsia="it-IT"/>
              </w:rPr>
              <w:t>.</w:t>
            </w:r>
            <w:r>
              <w:rPr>
                <w:rFonts w:ascii="Tahoma" w:eastAsia="Times New Roman" w:hAnsi="Tahoma" w:cs="Tahoma"/>
                <w:b/>
                <w:bCs/>
                <w:color w:val="FFFFFF"/>
                <w:sz w:val="20"/>
                <w:szCs w:val="20"/>
                <w:lang w:eastAsia="it-IT"/>
              </w:rPr>
              <w:br/>
              <w:t>2026-2025</w:t>
            </w:r>
          </w:p>
        </w:tc>
        <w:tc>
          <w:tcPr>
            <w:tcW w:w="84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w:t>
            </w:r>
            <w:r>
              <w:rPr>
                <w:rFonts w:ascii="Tahoma" w:eastAsia="Times New Roman" w:hAnsi="Tahoma" w:cs="Tahoma"/>
                <w:b/>
                <w:bCs/>
                <w:color w:val="FFFFFF"/>
                <w:sz w:val="20"/>
                <w:szCs w:val="20"/>
                <w:lang w:eastAsia="it-IT"/>
              </w:rPr>
              <w:br/>
              <w:t>2026/2025</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Basilicata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545</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663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+118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+21,6</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2</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Campania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5.007</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6.075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+1.068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+21,3</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3</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Puglia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3.925</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4.762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+837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+21,3</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4</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Molise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360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436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+21,2</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5</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Trentino-Alto Adige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1.650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1.998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+348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+21,1</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6</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Marche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1.795</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2.171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+376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+21,0</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7</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Calabria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2.500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3.024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+524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8</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Abruzzo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1.685</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2.037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+352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9</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Sicilia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5.284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6.387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+1.103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10</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Umbria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1.150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1.389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+239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11</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Emilia-Romagna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6.410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7.744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+1.333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12</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Veneto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6.193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7.466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+1.273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+20,6</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13</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Sardegna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1.948</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2.344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+396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+20,3</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14</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Valle d'Aosta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+20,2</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15</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Friuli-Venezia Giulia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1.664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1.998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+334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+20,1</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16</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Toscana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4.492</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5.390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+898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+20,0</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17</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Lazio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6.335</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7.591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+1.257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18</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Piemonte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4.093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4.899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+807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+19,7</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19</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Lombardia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10.092</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12.059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+1.967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+19,5</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20</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Liguria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1.628</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1.944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+317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+19,5</w:t>
            </w:r>
          </w:p>
        </w:tc>
      </w:tr>
      <w:tr w:rsidR="0042009D" w:rsidRPr="0042009D" w:rsidTr="0042009D">
        <w:trPr>
          <w:trHeight w:val="300"/>
        </w:trPr>
        <w:tc>
          <w:tcPr>
            <w:tcW w:w="465" w:type="pct"/>
            <w:tcBorders>
              <w:top w:val="single" w:sz="4" w:space="0" w:color="auto"/>
              <w:left w:val="nil"/>
              <w:bottom w:val="single" w:sz="4" w:space="0" w:color="auto"/>
              <w:right w:val="nil"/>
            </w:tcBorders>
            <w:shd w:val="clear" w:color="auto" w:fill="FFFF00"/>
            <w:noWrap/>
            <w:vAlign w:val="bottom"/>
            <w:hideMark/>
          </w:tcPr>
          <w:p w:rsidR="00C1460D" w:rsidRPr="0042009D" w:rsidRDefault="00C1460D">
            <w:pPr>
              <w:spacing w:after="0" w:line="240" w:lineRule="auto"/>
              <w:rPr>
                <w:rFonts w:eastAsia="Times New Roman" w:cs="Calibri"/>
                <w:lang w:eastAsia="it-IT"/>
              </w:rPr>
            </w:pPr>
            <w:r w:rsidRPr="0042009D">
              <w:rPr>
                <w:rFonts w:eastAsia="Times New Roman" w:cs="Calibri"/>
                <w:lang w:eastAsia="it-IT"/>
              </w:rPr>
              <w:t> </w:t>
            </w:r>
          </w:p>
        </w:tc>
        <w:tc>
          <w:tcPr>
            <w:tcW w:w="1163" w:type="pct"/>
            <w:tcBorders>
              <w:top w:val="single" w:sz="4" w:space="0" w:color="auto"/>
              <w:left w:val="nil"/>
              <w:bottom w:val="single" w:sz="4" w:space="0" w:color="auto"/>
              <w:right w:val="nil"/>
            </w:tcBorders>
            <w:shd w:val="clear" w:color="auto" w:fill="FFFF00"/>
            <w:vAlign w:val="center"/>
            <w:hideMark/>
          </w:tcPr>
          <w:p w:rsidR="00C1460D" w:rsidRPr="0042009D" w:rsidRDefault="00C1460D">
            <w:pPr>
              <w:spacing w:after="0" w:line="240" w:lineRule="auto"/>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ITALIA</w:t>
            </w:r>
          </w:p>
        </w:tc>
        <w:tc>
          <w:tcPr>
            <w:tcW w:w="843" w:type="pct"/>
            <w:tcBorders>
              <w:top w:val="single" w:sz="4" w:space="0" w:color="auto"/>
              <w:left w:val="single" w:sz="4" w:space="0" w:color="auto"/>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66.919</w:t>
            </w:r>
          </w:p>
        </w:tc>
        <w:tc>
          <w:tcPr>
            <w:tcW w:w="843" w:type="pct"/>
            <w:tcBorders>
              <w:top w:val="single" w:sz="4" w:space="0" w:color="auto"/>
              <w:left w:val="nil"/>
              <w:bottom w:val="single" w:sz="4" w:space="0" w:color="auto"/>
              <w:right w:val="single" w:sz="4" w:space="0" w:color="FFFFFF"/>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80.575</w:t>
            </w:r>
          </w:p>
        </w:tc>
        <w:tc>
          <w:tcPr>
            <w:tcW w:w="843" w:type="pct"/>
            <w:tcBorders>
              <w:top w:val="single" w:sz="4" w:space="0" w:color="auto"/>
              <w:left w:val="nil"/>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+13.657</w:t>
            </w:r>
          </w:p>
        </w:tc>
        <w:tc>
          <w:tcPr>
            <w:tcW w:w="843" w:type="pct"/>
            <w:tcBorders>
              <w:top w:val="single" w:sz="4" w:space="0" w:color="auto"/>
              <w:left w:val="nil"/>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+20,4</w:t>
            </w:r>
          </w:p>
        </w:tc>
      </w:tr>
      <w:tr w:rsidR="00C1460D" w:rsidTr="00C1460D">
        <w:trPr>
          <w:trHeight w:val="300"/>
        </w:trPr>
        <w:tc>
          <w:tcPr>
            <w:tcW w:w="465" w:type="pct"/>
            <w:noWrap/>
            <w:vAlign w:val="bottom"/>
            <w:hideMark/>
          </w:tcPr>
          <w:p w:rsidR="00C1460D" w:rsidRDefault="00C1460D">
            <w:pPr>
              <w:rPr>
                <w:rFonts w:ascii="Tahoma" w:eastAsia="Times New Roman" w:hAnsi="Tahoma" w:cs="Tahoma"/>
                <w:b/>
                <w:bCs/>
                <w:color w:val="FFFFFF"/>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NORD OVEST</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15.976</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19.100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+3.124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+19,6</w:t>
            </w:r>
          </w:p>
        </w:tc>
      </w:tr>
      <w:tr w:rsidR="00C1460D" w:rsidTr="00C1460D">
        <w:trPr>
          <w:trHeight w:val="300"/>
        </w:trPr>
        <w:tc>
          <w:tcPr>
            <w:tcW w:w="465" w:type="pct"/>
            <w:noWrap/>
            <w:vAlign w:val="bottom"/>
            <w:hideMark/>
          </w:tcPr>
          <w:p w:rsidR="00C1460D" w:rsidRDefault="00C1460D">
            <w:pPr>
              <w:rPr>
                <w:rFonts w:ascii="Tahoma" w:eastAsia="Times New Roman" w:hAnsi="Tahoma" w:cs="Tahoma"/>
                <w:color w:val="000000"/>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NORD EST</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15.918</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19.206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+3.288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+20,7</w:t>
            </w:r>
          </w:p>
        </w:tc>
      </w:tr>
      <w:tr w:rsidR="00C1460D" w:rsidTr="00C1460D">
        <w:trPr>
          <w:trHeight w:val="300"/>
        </w:trPr>
        <w:tc>
          <w:tcPr>
            <w:tcW w:w="465" w:type="pct"/>
            <w:noWrap/>
            <w:vAlign w:val="bottom"/>
            <w:hideMark/>
          </w:tcPr>
          <w:p w:rsidR="00C1460D" w:rsidRDefault="00C1460D">
            <w:pPr>
              <w:rPr>
                <w:rFonts w:ascii="Tahoma" w:eastAsia="Times New Roman" w:hAnsi="Tahoma" w:cs="Tahoma"/>
                <w:color w:val="000000"/>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CENTRO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13.771</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16.542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+2.770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+20,1</w:t>
            </w:r>
          </w:p>
        </w:tc>
      </w:tr>
      <w:tr w:rsidR="00C1460D" w:rsidTr="00C1460D">
        <w:trPr>
          <w:trHeight w:val="300"/>
        </w:trPr>
        <w:tc>
          <w:tcPr>
            <w:tcW w:w="465" w:type="pct"/>
            <w:tcBorders>
              <w:top w:val="nil"/>
              <w:left w:val="nil"/>
              <w:bottom w:val="single" w:sz="4" w:space="0" w:color="auto"/>
              <w:right w:val="nil"/>
            </w:tcBorders>
            <w:noWrap/>
            <w:vAlign w:val="bottom"/>
            <w:hideMark/>
          </w:tcPr>
          <w:p w:rsidR="00C1460D" w:rsidRDefault="00C1460D">
            <w:pPr>
              <w:spacing w:after="0" w:line="240" w:lineRule="auto"/>
              <w:rPr>
                <w:rFonts w:eastAsia="Times New Roman" w:cs="Calibri"/>
                <w:color w:val="000000"/>
                <w:lang w:eastAsia="it-IT"/>
              </w:rPr>
            </w:pPr>
            <w:r>
              <w:rPr>
                <w:rFonts w:eastAsia="Times New Roman" w:cs="Calibri"/>
                <w:color w:val="000000"/>
                <w:lang w:eastAsia="it-IT"/>
              </w:rPr>
              <w:t> </w:t>
            </w:r>
          </w:p>
        </w:tc>
        <w:tc>
          <w:tcPr>
            <w:tcW w:w="1163" w:type="pct"/>
            <w:tcBorders>
              <w:top w:val="nil"/>
              <w:left w:val="nil"/>
              <w:bottom w:val="single" w:sz="4" w:space="0" w:color="auto"/>
              <w:right w:val="nil"/>
            </w:tcBorders>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MEZZOGIORNO</w:t>
            </w:r>
          </w:p>
        </w:tc>
        <w:tc>
          <w:tcPr>
            <w:tcW w:w="843" w:type="pct"/>
            <w:tcBorders>
              <w:top w:val="nil"/>
              <w:left w:val="single" w:sz="4" w:space="0" w:color="auto"/>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21.254</w:t>
            </w:r>
          </w:p>
        </w:tc>
        <w:tc>
          <w:tcPr>
            <w:tcW w:w="843" w:type="pct"/>
            <w:tcBorders>
              <w:top w:val="nil"/>
              <w:left w:val="nil"/>
              <w:bottom w:val="single" w:sz="4" w:space="0" w:color="auto"/>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25.728</w:t>
            </w:r>
          </w:p>
        </w:tc>
        <w:tc>
          <w:tcPr>
            <w:tcW w:w="843" w:type="pct"/>
            <w:tcBorders>
              <w:top w:val="nil"/>
              <w:left w:val="nil"/>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+4.474</w:t>
            </w:r>
          </w:p>
        </w:tc>
        <w:tc>
          <w:tcPr>
            <w:tcW w:w="843" w:type="pct"/>
            <w:tcBorders>
              <w:top w:val="nil"/>
              <w:left w:val="nil"/>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+21,1</w:t>
            </w:r>
          </w:p>
        </w:tc>
      </w:tr>
    </w:tbl>
    <w:p w:rsidR="00C1460D" w:rsidRDefault="00C1460D" w:rsidP="00C1460D">
      <w:pPr>
        <w:spacing w:before="120" w:after="0" w:line="240" w:lineRule="auto"/>
        <w:jc w:val="center"/>
        <w:rPr>
          <w:rFonts w:ascii="Verdana" w:hAnsi="Verdana" w:cs="Tahoma"/>
          <w:sz w:val="18"/>
          <w:szCs w:val="18"/>
        </w:rPr>
      </w:pPr>
      <w:r>
        <w:rPr>
          <w:rFonts w:ascii="Verdana" w:hAnsi="Verdana" w:cs="Tahoma"/>
          <w:sz w:val="18"/>
          <w:szCs w:val="18"/>
        </w:rPr>
        <w:t xml:space="preserve">Elaborazione Ufficio Studi CGIA su dati </w:t>
      </w:r>
      <w:r>
        <w:rPr>
          <w:rFonts w:ascii="Verdana" w:hAnsi="Verdana"/>
          <w:sz w:val="18"/>
          <w:szCs w:val="18"/>
        </w:rPr>
        <w:t>Ministero dell'ambiente e della sicurezza energetica</w:t>
      </w:r>
      <w:r>
        <w:rPr>
          <w:rFonts w:ascii="Verdana" w:hAnsi="Verdana" w:cs="Tahoma"/>
          <w:sz w:val="18"/>
          <w:szCs w:val="18"/>
        </w:rPr>
        <w:t xml:space="preserve"> (MASE)</w:t>
      </w:r>
    </w:p>
    <w:p w:rsidR="00C1460D" w:rsidRDefault="00C1460D" w:rsidP="00C1460D">
      <w:pPr>
        <w:spacing w:after="0"/>
        <w:jc w:val="center"/>
        <w:rPr>
          <w:rFonts w:ascii="Verdana" w:hAnsi="Verdana"/>
          <w:sz w:val="18"/>
          <w:szCs w:val="18"/>
        </w:rPr>
      </w:pPr>
      <w:r>
        <w:rPr>
          <w:rFonts w:ascii="Verdana" w:hAnsi="Verdana"/>
          <w:sz w:val="18"/>
          <w:szCs w:val="18"/>
        </w:rPr>
        <w:t xml:space="preserve"> </w:t>
      </w:r>
    </w:p>
    <w:p w:rsidR="00C1460D" w:rsidRDefault="00C1460D" w:rsidP="00C1460D">
      <w:pPr>
        <w:spacing w:after="0"/>
        <w:jc w:val="center"/>
        <w:rPr>
          <w:rFonts w:ascii="Verdana" w:hAnsi="Verdana"/>
          <w:sz w:val="18"/>
          <w:szCs w:val="18"/>
        </w:rPr>
      </w:pPr>
      <w:r>
        <w:rPr>
          <w:rFonts w:ascii="Verdana" w:hAnsi="Verdana"/>
          <w:sz w:val="18"/>
          <w:szCs w:val="18"/>
        </w:rPr>
        <w:t xml:space="preserve"> </w:t>
      </w: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b/>
          <w:sz w:val="21"/>
          <w:szCs w:val="21"/>
        </w:rPr>
      </w:pPr>
      <w:proofErr w:type="spellStart"/>
      <w:r>
        <w:rPr>
          <w:rFonts w:ascii="Verdana" w:hAnsi="Verdana"/>
          <w:b/>
          <w:sz w:val="21"/>
          <w:szCs w:val="21"/>
        </w:rPr>
        <w:lastRenderedPageBreak/>
        <w:t>Tab</w:t>
      </w:r>
      <w:proofErr w:type="spellEnd"/>
      <w:r>
        <w:rPr>
          <w:rFonts w:ascii="Verdana" w:hAnsi="Verdana"/>
          <w:b/>
          <w:sz w:val="21"/>
          <w:szCs w:val="21"/>
        </w:rPr>
        <w:t xml:space="preserve">. 4 – Stima rincari su ENERGIA ELETTRICA per </w:t>
      </w:r>
      <w:r>
        <w:rPr>
          <w:rFonts w:ascii="Verdana" w:hAnsi="Verdana"/>
          <w:b/>
          <w:sz w:val="21"/>
          <w:szCs w:val="21"/>
          <w:u w:val="single"/>
        </w:rPr>
        <w:t>IMPRESE e FAMIGLIE</w:t>
      </w:r>
      <w:r>
        <w:rPr>
          <w:rFonts w:ascii="Verdana" w:hAnsi="Verdana"/>
          <w:b/>
          <w:sz w:val="21"/>
          <w:szCs w:val="21"/>
        </w:rPr>
        <w:t xml:space="preserve"> </w:t>
      </w:r>
    </w:p>
    <w:p w:rsidR="00C1460D" w:rsidRDefault="00C1460D" w:rsidP="00C1460D">
      <w:pPr>
        <w:spacing w:after="0"/>
        <w:jc w:val="center"/>
        <w:rPr>
          <w:rFonts w:ascii="Verdana" w:hAnsi="Verdana"/>
          <w:sz w:val="20"/>
          <w:szCs w:val="21"/>
        </w:rPr>
      </w:pPr>
      <w:r>
        <w:rPr>
          <w:rFonts w:ascii="Verdana" w:hAnsi="Verdana"/>
          <w:sz w:val="20"/>
          <w:szCs w:val="21"/>
        </w:rPr>
        <w:t xml:space="preserve">DATI REGIONALI - Valori in milioni di euro e </w:t>
      </w:r>
      <w:proofErr w:type="spellStart"/>
      <w:r>
        <w:rPr>
          <w:rFonts w:ascii="Verdana" w:hAnsi="Verdana"/>
          <w:sz w:val="20"/>
          <w:szCs w:val="21"/>
        </w:rPr>
        <w:t>var</w:t>
      </w:r>
      <w:proofErr w:type="spellEnd"/>
      <w:r>
        <w:rPr>
          <w:rFonts w:ascii="Verdana" w:hAnsi="Verdana"/>
          <w:sz w:val="20"/>
          <w:szCs w:val="21"/>
        </w:rPr>
        <w:t>. %</w:t>
      </w:r>
    </w:p>
    <w:tbl>
      <w:tblPr>
        <w:tblW w:w="5000" w:type="pct"/>
        <w:tblCellMar>
          <w:left w:w="70" w:type="dxa"/>
          <w:right w:w="70" w:type="dxa"/>
        </w:tblCellMar>
        <w:tblLook w:val="04A0" w:firstRow="1" w:lastRow="0" w:firstColumn="1" w:lastColumn="0" w:noHBand="0" w:noVBand="1"/>
      </w:tblPr>
      <w:tblGrid>
        <w:gridCol w:w="928"/>
        <w:gridCol w:w="2320"/>
        <w:gridCol w:w="1681"/>
        <w:gridCol w:w="1681"/>
        <w:gridCol w:w="1681"/>
        <w:gridCol w:w="1681"/>
      </w:tblGrid>
      <w:tr w:rsidR="00C1460D" w:rsidTr="00C1460D">
        <w:trPr>
          <w:trHeight w:val="660"/>
        </w:trPr>
        <w:tc>
          <w:tcPr>
            <w:tcW w:w="465"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Rank</w:t>
            </w:r>
            <w:proofErr w:type="spellEnd"/>
            <w:r>
              <w:rPr>
                <w:rFonts w:ascii="Tahoma" w:eastAsia="Times New Roman" w:hAnsi="Tahoma" w:cs="Tahoma"/>
                <w:b/>
                <w:bCs/>
                <w:color w:val="FFFFFF"/>
                <w:sz w:val="20"/>
                <w:szCs w:val="20"/>
                <w:lang w:eastAsia="it-IT"/>
              </w:rPr>
              <w:t xml:space="preserve"> per </w:t>
            </w:r>
            <w:r>
              <w:rPr>
                <w:rFonts w:ascii="Tahoma" w:eastAsia="Times New Roman" w:hAnsi="Tahoma" w:cs="Tahoma"/>
                <w:b/>
                <w:bCs/>
                <w:color w:val="FFFFFF"/>
                <w:sz w:val="20"/>
                <w:szCs w:val="20"/>
                <w:lang w:eastAsia="it-IT"/>
              </w:rPr>
              <w:br/>
            </w: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w:t>
            </w:r>
          </w:p>
        </w:tc>
        <w:tc>
          <w:tcPr>
            <w:tcW w:w="116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 xml:space="preserve">Regioni e </w:t>
            </w:r>
            <w:r>
              <w:rPr>
                <w:rFonts w:ascii="Tahoma" w:eastAsia="Times New Roman" w:hAnsi="Tahoma" w:cs="Tahoma"/>
                <w:b/>
                <w:bCs/>
                <w:color w:val="FFFFFF"/>
                <w:sz w:val="20"/>
                <w:szCs w:val="20"/>
                <w:lang w:eastAsia="it-IT"/>
              </w:rPr>
              <w:br/>
              <w:t>ripartizioni</w:t>
            </w:r>
          </w:p>
        </w:tc>
        <w:tc>
          <w:tcPr>
            <w:tcW w:w="843" w:type="pct"/>
            <w:tcBorders>
              <w:top w:val="single" w:sz="4" w:space="0" w:color="auto"/>
              <w:left w:val="single" w:sz="4" w:space="0" w:color="FFFFFF"/>
              <w:bottom w:val="single" w:sz="4" w:space="0" w:color="auto"/>
              <w:right w:val="nil"/>
            </w:tcBorders>
            <w:shd w:val="clear" w:color="auto" w:fill="0000FF"/>
            <w:noWrap/>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2025</w:t>
            </w:r>
          </w:p>
        </w:tc>
        <w:tc>
          <w:tcPr>
            <w:tcW w:w="843" w:type="pct"/>
            <w:tcBorders>
              <w:top w:val="single" w:sz="4" w:space="0" w:color="auto"/>
              <w:left w:val="nil"/>
              <w:bottom w:val="single" w:sz="4" w:space="0" w:color="auto"/>
              <w:right w:val="single" w:sz="4" w:space="0" w:color="FFFFFF"/>
            </w:tcBorders>
            <w:shd w:val="clear" w:color="auto" w:fill="0000FF"/>
            <w:noWrap/>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2026</w:t>
            </w:r>
          </w:p>
        </w:tc>
        <w:tc>
          <w:tcPr>
            <w:tcW w:w="84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xml:space="preserve">. </w:t>
            </w:r>
            <w:proofErr w:type="spellStart"/>
            <w:r>
              <w:rPr>
                <w:rFonts w:ascii="Tahoma" w:eastAsia="Times New Roman" w:hAnsi="Tahoma" w:cs="Tahoma"/>
                <w:b/>
                <w:bCs/>
                <w:color w:val="FFFFFF"/>
                <w:sz w:val="20"/>
                <w:szCs w:val="20"/>
                <w:lang w:eastAsia="it-IT"/>
              </w:rPr>
              <w:t>ass</w:t>
            </w:r>
            <w:proofErr w:type="spellEnd"/>
            <w:r>
              <w:rPr>
                <w:rFonts w:ascii="Tahoma" w:eastAsia="Times New Roman" w:hAnsi="Tahoma" w:cs="Tahoma"/>
                <w:b/>
                <w:bCs/>
                <w:color w:val="FFFFFF"/>
                <w:sz w:val="20"/>
                <w:szCs w:val="20"/>
                <w:lang w:eastAsia="it-IT"/>
              </w:rPr>
              <w:t>.</w:t>
            </w:r>
            <w:r>
              <w:rPr>
                <w:rFonts w:ascii="Tahoma" w:eastAsia="Times New Roman" w:hAnsi="Tahoma" w:cs="Tahoma"/>
                <w:b/>
                <w:bCs/>
                <w:color w:val="FFFFFF"/>
                <w:sz w:val="20"/>
                <w:szCs w:val="20"/>
                <w:lang w:eastAsia="it-IT"/>
              </w:rPr>
              <w:br/>
              <w:t>2026-2025</w:t>
            </w:r>
          </w:p>
        </w:tc>
        <w:tc>
          <w:tcPr>
            <w:tcW w:w="84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w:t>
            </w:r>
            <w:r>
              <w:rPr>
                <w:rFonts w:ascii="Tahoma" w:eastAsia="Times New Roman" w:hAnsi="Tahoma" w:cs="Tahoma"/>
                <w:b/>
                <w:bCs/>
                <w:color w:val="FFFFFF"/>
                <w:sz w:val="20"/>
                <w:szCs w:val="20"/>
                <w:lang w:eastAsia="it-IT"/>
              </w:rPr>
              <w:br/>
              <w:t>2026/2025</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Calabria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1.370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1.549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+179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+13,1</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2</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Sicilia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4.629</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5.231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+602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+13,0</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3</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Campania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4.620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5.221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+600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+13,0</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4</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Lazio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5.713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6.454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+741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+13,0</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5</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Sardegna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2.134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2.411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+276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6</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Liguria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1.574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1.777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7</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Puglia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4.383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4.950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+567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8</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Marche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1.818</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2.053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+234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9</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Toscana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5.017</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5.663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+646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10</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Abruzzo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1.660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1.874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11</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Molise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359</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405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12</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Basilicata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687</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776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13</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Veneto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8.314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9.381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+1.067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14</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Piemonte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6.125</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6.911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+786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15</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Emilia-Romagna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7.540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8.507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+967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16</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Umbria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1.411</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1.592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+181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17</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Lombardia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17.401</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19.631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+2.231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18</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Trentino-Alto Adige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1.833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2.067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+235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19</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Valle d'Aosta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250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282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20</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Friuli-Venezia Giulia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2.557</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2.884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+327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42009D" w:rsidRPr="0042009D" w:rsidTr="0042009D">
        <w:trPr>
          <w:trHeight w:val="300"/>
        </w:trPr>
        <w:tc>
          <w:tcPr>
            <w:tcW w:w="465" w:type="pct"/>
            <w:tcBorders>
              <w:top w:val="single" w:sz="4" w:space="0" w:color="auto"/>
              <w:left w:val="nil"/>
              <w:bottom w:val="single" w:sz="4" w:space="0" w:color="auto"/>
              <w:right w:val="nil"/>
            </w:tcBorders>
            <w:shd w:val="clear" w:color="auto" w:fill="FFFF00"/>
            <w:noWrap/>
            <w:vAlign w:val="bottom"/>
            <w:hideMark/>
          </w:tcPr>
          <w:p w:rsidR="00C1460D" w:rsidRPr="0042009D" w:rsidRDefault="00C1460D">
            <w:pPr>
              <w:spacing w:after="0" w:line="240" w:lineRule="auto"/>
              <w:rPr>
                <w:rFonts w:eastAsia="Times New Roman" w:cs="Calibri"/>
                <w:lang w:eastAsia="it-IT"/>
              </w:rPr>
            </w:pPr>
            <w:r w:rsidRPr="0042009D">
              <w:rPr>
                <w:rFonts w:eastAsia="Times New Roman" w:cs="Calibri"/>
                <w:lang w:eastAsia="it-IT"/>
              </w:rPr>
              <w:t> </w:t>
            </w:r>
          </w:p>
        </w:tc>
        <w:tc>
          <w:tcPr>
            <w:tcW w:w="1163" w:type="pct"/>
            <w:tcBorders>
              <w:top w:val="single" w:sz="4" w:space="0" w:color="auto"/>
              <w:left w:val="nil"/>
              <w:bottom w:val="single" w:sz="4" w:space="0" w:color="auto"/>
              <w:right w:val="nil"/>
            </w:tcBorders>
            <w:shd w:val="clear" w:color="auto" w:fill="FFFF00"/>
            <w:vAlign w:val="center"/>
            <w:hideMark/>
          </w:tcPr>
          <w:p w:rsidR="00C1460D" w:rsidRPr="0042009D" w:rsidRDefault="00C1460D">
            <w:pPr>
              <w:spacing w:after="0" w:line="240" w:lineRule="auto"/>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ITALIA</w:t>
            </w:r>
          </w:p>
        </w:tc>
        <w:tc>
          <w:tcPr>
            <w:tcW w:w="843" w:type="pct"/>
            <w:tcBorders>
              <w:top w:val="single" w:sz="4" w:space="0" w:color="auto"/>
              <w:left w:val="single" w:sz="4" w:space="0" w:color="auto"/>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79.395</w:t>
            </w:r>
          </w:p>
        </w:tc>
        <w:tc>
          <w:tcPr>
            <w:tcW w:w="843" w:type="pct"/>
            <w:tcBorders>
              <w:top w:val="single" w:sz="4" w:space="0" w:color="auto"/>
              <w:left w:val="nil"/>
              <w:bottom w:val="single" w:sz="4" w:space="0" w:color="auto"/>
              <w:right w:val="single" w:sz="4" w:space="0" w:color="FFFFFF"/>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89.619</w:t>
            </w:r>
          </w:p>
        </w:tc>
        <w:tc>
          <w:tcPr>
            <w:tcW w:w="843" w:type="pct"/>
            <w:tcBorders>
              <w:top w:val="single" w:sz="4" w:space="0" w:color="auto"/>
              <w:left w:val="nil"/>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+10.224</w:t>
            </w:r>
          </w:p>
        </w:tc>
        <w:tc>
          <w:tcPr>
            <w:tcW w:w="843" w:type="pct"/>
            <w:tcBorders>
              <w:top w:val="single" w:sz="4" w:space="0" w:color="auto"/>
              <w:left w:val="nil"/>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+12,9</w:t>
            </w:r>
          </w:p>
        </w:tc>
      </w:tr>
      <w:tr w:rsidR="00C1460D" w:rsidTr="00C1460D">
        <w:trPr>
          <w:trHeight w:val="300"/>
        </w:trPr>
        <w:tc>
          <w:tcPr>
            <w:tcW w:w="465" w:type="pct"/>
            <w:noWrap/>
            <w:vAlign w:val="bottom"/>
            <w:hideMark/>
          </w:tcPr>
          <w:p w:rsidR="00C1460D" w:rsidRDefault="00C1460D">
            <w:pPr>
              <w:rPr>
                <w:rFonts w:ascii="Tahoma" w:eastAsia="Times New Roman" w:hAnsi="Tahoma" w:cs="Tahoma"/>
                <w:b/>
                <w:bCs/>
                <w:color w:val="FFFFFF"/>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NORD OVEST</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25.349</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28.602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+3.253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rPr>
                <w:rFonts w:ascii="Tahoma" w:eastAsia="Times New Roman" w:hAnsi="Tahoma" w:cs="Tahoma"/>
                <w:color w:val="000000"/>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NORD EST</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20.244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22.840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+2.596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+12,8</w:t>
            </w:r>
          </w:p>
        </w:tc>
      </w:tr>
      <w:tr w:rsidR="00C1460D" w:rsidTr="00C1460D">
        <w:trPr>
          <w:trHeight w:val="300"/>
        </w:trPr>
        <w:tc>
          <w:tcPr>
            <w:tcW w:w="465" w:type="pct"/>
            <w:noWrap/>
            <w:vAlign w:val="bottom"/>
            <w:hideMark/>
          </w:tcPr>
          <w:p w:rsidR="00C1460D" w:rsidRDefault="00C1460D">
            <w:pPr>
              <w:rPr>
                <w:rFonts w:ascii="Tahoma" w:eastAsia="Times New Roman" w:hAnsi="Tahoma" w:cs="Tahoma"/>
                <w:color w:val="000000"/>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CENTRO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13.959</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15.762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+1.802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+12,9</w:t>
            </w:r>
          </w:p>
        </w:tc>
      </w:tr>
      <w:tr w:rsidR="00C1460D" w:rsidTr="00C1460D">
        <w:trPr>
          <w:trHeight w:val="300"/>
        </w:trPr>
        <w:tc>
          <w:tcPr>
            <w:tcW w:w="465" w:type="pct"/>
            <w:tcBorders>
              <w:top w:val="nil"/>
              <w:left w:val="nil"/>
              <w:bottom w:val="single" w:sz="4" w:space="0" w:color="auto"/>
              <w:right w:val="nil"/>
            </w:tcBorders>
            <w:noWrap/>
            <w:vAlign w:val="bottom"/>
            <w:hideMark/>
          </w:tcPr>
          <w:p w:rsidR="00C1460D" w:rsidRDefault="00C1460D">
            <w:pPr>
              <w:spacing w:after="0" w:line="240" w:lineRule="auto"/>
              <w:rPr>
                <w:rFonts w:eastAsia="Times New Roman" w:cs="Calibri"/>
                <w:color w:val="000000"/>
                <w:lang w:eastAsia="it-IT"/>
              </w:rPr>
            </w:pPr>
            <w:r>
              <w:rPr>
                <w:rFonts w:eastAsia="Times New Roman" w:cs="Calibri"/>
                <w:color w:val="000000"/>
                <w:lang w:eastAsia="it-IT"/>
              </w:rPr>
              <w:t> </w:t>
            </w:r>
          </w:p>
        </w:tc>
        <w:tc>
          <w:tcPr>
            <w:tcW w:w="1163" w:type="pct"/>
            <w:tcBorders>
              <w:top w:val="nil"/>
              <w:left w:val="nil"/>
              <w:bottom w:val="single" w:sz="4" w:space="0" w:color="auto"/>
              <w:right w:val="nil"/>
            </w:tcBorders>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MEZZOGIORNO</w:t>
            </w:r>
          </w:p>
        </w:tc>
        <w:tc>
          <w:tcPr>
            <w:tcW w:w="843" w:type="pct"/>
            <w:tcBorders>
              <w:top w:val="nil"/>
              <w:left w:val="single" w:sz="4" w:space="0" w:color="auto"/>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19.843</w:t>
            </w:r>
          </w:p>
        </w:tc>
        <w:tc>
          <w:tcPr>
            <w:tcW w:w="843" w:type="pct"/>
            <w:tcBorders>
              <w:top w:val="nil"/>
              <w:left w:val="nil"/>
              <w:bottom w:val="single" w:sz="4" w:space="0" w:color="auto"/>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22.416</w:t>
            </w:r>
          </w:p>
        </w:tc>
        <w:tc>
          <w:tcPr>
            <w:tcW w:w="843" w:type="pct"/>
            <w:tcBorders>
              <w:top w:val="nil"/>
              <w:left w:val="nil"/>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+2.573</w:t>
            </w:r>
          </w:p>
        </w:tc>
        <w:tc>
          <w:tcPr>
            <w:tcW w:w="843" w:type="pct"/>
            <w:tcBorders>
              <w:top w:val="nil"/>
              <w:left w:val="nil"/>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+13,0</w:t>
            </w:r>
          </w:p>
        </w:tc>
      </w:tr>
    </w:tbl>
    <w:p w:rsidR="00C1460D" w:rsidRDefault="00C1460D" w:rsidP="00C1460D">
      <w:pPr>
        <w:spacing w:before="120" w:after="0" w:line="240" w:lineRule="auto"/>
        <w:jc w:val="center"/>
        <w:rPr>
          <w:rFonts w:ascii="Verdana" w:hAnsi="Verdana" w:cs="Tahoma"/>
          <w:sz w:val="18"/>
          <w:szCs w:val="18"/>
        </w:rPr>
      </w:pPr>
      <w:r>
        <w:rPr>
          <w:rFonts w:ascii="Verdana" w:hAnsi="Verdana" w:cs="Tahoma"/>
          <w:sz w:val="18"/>
          <w:szCs w:val="18"/>
        </w:rPr>
        <w:t xml:space="preserve">Elaborazione Ufficio Studi CGIA su dati Terna, </w:t>
      </w:r>
      <w:proofErr w:type="spellStart"/>
      <w:r>
        <w:rPr>
          <w:rFonts w:ascii="Verdana" w:hAnsi="Verdana" w:cs="Tahoma"/>
          <w:sz w:val="18"/>
          <w:szCs w:val="18"/>
        </w:rPr>
        <w:t>Arera</w:t>
      </w:r>
      <w:proofErr w:type="spellEnd"/>
      <w:r>
        <w:rPr>
          <w:rFonts w:ascii="Verdana" w:hAnsi="Verdana" w:cs="Tahoma"/>
          <w:sz w:val="18"/>
          <w:szCs w:val="18"/>
        </w:rPr>
        <w:t>, Eurostat e GME</w:t>
      </w:r>
    </w:p>
    <w:p w:rsidR="00C1460D" w:rsidRDefault="00C1460D" w:rsidP="00C1460D">
      <w:pPr>
        <w:spacing w:after="0"/>
        <w:jc w:val="center"/>
        <w:rPr>
          <w:rFonts w:ascii="Verdana" w:hAnsi="Verdana"/>
          <w:sz w:val="18"/>
          <w:szCs w:val="18"/>
        </w:rPr>
      </w:pPr>
      <w:r>
        <w:rPr>
          <w:rFonts w:ascii="Verdana" w:hAnsi="Verdana"/>
          <w:sz w:val="18"/>
          <w:szCs w:val="18"/>
        </w:rPr>
        <w:t xml:space="preserve"> </w:t>
      </w: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
    <w:p w:rsidR="00C1460D" w:rsidRDefault="00C1460D" w:rsidP="00C1460D">
      <w:pPr>
        <w:spacing w:after="0"/>
        <w:jc w:val="center"/>
        <w:rPr>
          <w:rFonts w:ascii="Verdana" w:hAnsi="Verdana"/>
          <w:b/>
          <w:sz w:val="21"/>
          <w:szCs w:val="21"/>
        </w:rPr>
      </w:pPr>
      <w:proofErr w:type="spellStart"/>
      <w:r>
        <w:rPr>
          <w:rFonts w:ascii="Verdana" w:hAnsi="Verdana"/>
          <w:b/>
          <w:sz w:val="21"/>
          <w:szCs w:val="21"/>
        </w:rPr>
        <w:lastRenderedPageBreak/>
        <w:t>Tab</w:t>
      </w:r>
      <w:proofErr w:type="spellEnd"/>
      <w:r>
        <w:rPr>
          <w:rFonts w:ascii="Verdana" w:hAnsi="Verdana"/>
          <w:b/>
          <w:sz w:val="21"/>
          <w:szCs w:val="21"/>
        </w:rPr>
        <w:t xml:space="preserve">. 5 – Stima rincari sul GAS per </w:t>
      </w:r>
      <w:r>
        <w:rPr>
          <w:rFonts w:ascii="Verdana" w:hAnsi="Verdana"/>
          <w:b/>
          <w:sz w:val="21"/>
          <w:szCs w:val="21"/>
          <w:u w:val="single"/>
        </w:rPr>
        <w:t>IMPRESE e FAMIGLIE</w:t>
      </w:r>
      <w:r>
        <w:rPr>
          <w:rFonts w:ascii="Verdana" w:hAnsi="Verdana"/>
          <w:b/>
          <w:sz w:val="21"/>
          <w:szCs w:val="21"/>
        </w:rPr>
        <w:t xml:space="preserve"> </w:t>
      </w:r>
    </w:p>
    <w:p w:rsidR="00C1460D" w:rsidRDefault="00C1460D" w:rsidP="00C1460D">
      <w:pPr>
        <w:spacing w:after="0"/>
        <w:jc w:val="center"/>
        <w:rPr>
          <w:rFonts w:ascii="Verdana" w:hAnsi="Verdana"/>
          <w:sz w:val="20"/>
          <w:szCs w:val="21"/>
        </w:rPr>
      </w:pPr>
      <w:r>
        <w:rPr>
          <w:rFonts w:ascii="Verdana" w:hAnsi="Verdana"/>
          <w:sz w:val="20"/>
          <w:szCs w:val="21"/>
        </w:rPr>
        <w:t xml:space="preserve">DATI REGIONALI - Valori in milioni di euro e </w:t>
      </w:r>
      <w:proofErr w:type="spellStart"/>
      <w:r>
        <w:rPr>
          <w:rFonts w:ascii="Verdana" w:hAnsi="Verdana"/>
          <w:sz w:val="20"/>
          <w:szCs w:val="21"/>
        </w:rPr>
        <w:t>var</w:t>
      </w:r>
      <w:proofErr w:type="spellEnd"/>
      <w:r>
        <w:rPr>
          <w:rFonts w:ascii="Verdana" w:hAnsi="Verdana"/>
          <w:sz w:val="20"/>
          <w:szCs w:val="21"/>
        </w:rPr>
        <w:t>. %</w:t>
      </w:r>
    </w:p>
    <w:tbl>
      <w:tblPr>
        <w:tblW w:w="5000" w:type="pct"/>
        <w:tblCellMar>
          <w:left w:w="70" w:type="dxa"/>
          <w:right w:w="70" w:type="dxa"/>
        </w:tblCellMar>
        <w:tblLook w:val="04A0" w:firstRow="1" w:lastRow="0" w:firstColumn="1" w:lastColumn="0" w:noHBand="0" w:noVBand="1"/>
      </w:tblPr>
      <w:tblGrid>
        <w:gridCol w:w="928"/>
        <w:gridCol w:w="2320"/>
        <w:gridCol w:w="1681"/>
        <w:gridCol w:w="1681"/>
        <w:gridCol w:w="1681"/>
        <w:gridCol w:w="1681"/>
      </w:tblGrid>
      <w:tr w:rsidR="00C1460D" w:rsidTr="00C1460D">
        <w:trPr>
          <w:trHeight w:val="660"/>
        </w:trPr>
        <w:tc>
          <w:tcPr>
            <w:tcW w:w="465"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Rank</w:t>
            </w:r>
            <w:proofErr w:type="spellEnd"/>
            <w:r>
              <w:rPr>
                <w:rFonts w:ascii="Tahoma" w:eastAsia="Times New Roman" w:hAnsi="Tahoma" w:cs="Tahoma"/>
                <w:b/>
                <w:bCs/>
                <w:color w:val="FFFFFF"/>
                <w:sz w:val="20"/>
                <w:szCs w:val="20"/>
                <w:lang w:eastAsia="it-IT"/>
              </w:rPr>
              <w:t xml:space="preserve"> per </w:t>
            </w:r>
            <w:r>
              <w:rPr>
                <w:rFonts w:ascii="Tahoma" w:eastAsia="Times New Roman" w:hAnsi="Tahoma" w:cs="Tahoma"/>
                <w:b/>
                <w:bCs/>
                <w:color w:val="FFFFFF"/>
                <w:sz w:val="20"/>
                <w:szCs w:val="20"/>
                <w:lang w:eastAsia="it-IT"/>
              </w:rPr>
              <w:br/>
            </w: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w:t>
            </w:r>
          </w:p>
        </w:tc>
        <w:tc>
          <w:tcPr>
            <w:tcW w:w="116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 xml:space="preserve">Regioni e </w:t>
            </w:r>
            <w:r>
              <w:rPr>
                <w:rFonts w:ascii="Tahoma" w:eastAsia="Times New Roman" w:hAnsi="Tahoma" w:cs="Tahoma"/>
                <w:b/>
                <w:bCs/>
                <w:color w:val="FFFFFF"/>
                <w:sz w:val="20"/>
                <w:szCs w:val="20"/>
                <w:lang w:eastAsia="it-IT"/>
              </w:rPr>
              <w:br/>
              <w:t>ripartizioni</w:t>
            </w:r>
          </w:p>
        </w:tc>
        <w:tc>
          <w:tcPr>
            <w:tcW w:w="843" w:type="pct"/>
            <w:tcBorders>
              <w:top w:val="single" w:sz="4" w:space="0" w:color="auto"/>
              <w:left w:val="single" w:sz="4" w:space="0" w:color="FFFFFF"/>
              <w:bottom w:val="single" w:sz="4" w:space="0" w:color="auto"/>
              <w:right w:val="nil"/>
            </w:tcBorders>
            <w:shd w:val="clear" w:color="auto" w:fill="0000FF"/>
            <w:noWrap/>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2025</w:t>
            </w:r>
          </w:p>
        </w:tc>
        <w:tc>
          <w:tcPr>
            <w:tcW w:w="843" w:type="pct"/>
            <w:tcBorders>
              <w:top w:val="single" w:sz="4" w:space="0" w:color="auto"/>
              <w:left w:val="nil"/>
              <w:bottom w:val="single" w:sz="4" w:space="0" w:color="auto"/>
              <w:right w:val="single" w:sz="4" w:space="0" w:color="FFFFFF"/>
            </w:tcBorders>
            <w:shd w:val="clear" w:color="auto" w:fill="0000FF"/>
            <w:noWrap/>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r>
              <w:rPr>
                <w:rFonts w:ascii="Tahoma" w:eastAsia="Times New Roman" w:hAnsi="Tahoma" w:cs="Tahoma"/>
                <w:b/>
                <w:bCs/>
                <w:color w:val="FFFFFF"/>
                <w:sz w:val="20"/>
                <w:szCs w:val="20"/>
                <w:lang w:eastAsia="it-IT"/>
              </w:rPr>
              <w:t>2026</w:t>
            </w:r>
          </w:p>
        </w:tc>
        <w:tc>
          <w:tcPr>
            <w:tcW w:w="84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xml:space="preserve">. </w:t>
            </w:r>
            <w:proofErr w:type="spellStart"/>
            <w:r>
              <w:rPr>
                <w:rFonts w:ascii="Tahoma" w:eastAsia="Times New Roman" w:hAnsi="Tahoma" w:cs="Tahoma"/>
                <w:b/>
                <w:bCs/>
                <w:color w:val="FFFFFF"/>
                <w:sz w:val="20"/>
                <w:szCs w:val="20"/>
                <w:lang w:eastAsia="it-IT"/>
              </w:rPr>
              <w:t>ass</w:t>
            </w:r>
            <w:proofErr w:type="spellEnd"/>
            <w:r>
              <w:rPr>
                <w:rFonts w:ascii="Tahoma" w:eastAsia="Times New Roman" w:hAnsi="Tahoma" w:cs="Tahoma"/>
                <w:b/>
                <w:bCs/>
                <w:color w:val="FFFFFF"/>
                <w:sz w:val="20"/>
                <w:szCs w:val="20"/>
                <w:lang w:eastAsia="it-IT"/>
              </w:rPr>
              <w:t>.</w:t>
            </w:r>
            <w:r>
              <w:rPr>
                <w:rFonts w:ascii="Tahoma" w:eastAsia="Times New Roman" w:hAnsi="Tahoma" w:cs="Tahoma"/>
                <w:b/>
                <w:bCs/>
                <w:color w:val="FFFFFF"/>
                <w:sz w:val="20"/>
                <w:szCs w:val="20"/>
                <w:lang w:eastAsia="it-IT"/>
              </w:rPr>
              <w:br/>
              <w:t>2026-2025</w:t>
            </w:r>
          </w:p>
        </w:tc>
        <w:tc>
          <w:tcPr>
            <w:tcW w:w="843" w:type="pct"/>
            <w:tcBorders>
              <w:top w:val="single" w:sz="4" w:space="0" w:color="auto"/>
              <w:left w:val="nil"/>
              <w:bottom w:val="single" w:sz="4" w:space="0" w:color="auto"/>
              <w:right w:val="nil"/>
            </w:tcBorders>
            <w:shd w:val="clear" w:color="auto" w:fill="0000FF"/>
            <w:vAlign w:val="center"/>
            <w:hideMark/>
          </w:tcPr>
          <w:p w:rsidR="00C1460D" w:rsidRDefault="00C1460D">
            <w:pPr>
              <w:spacing w:after="0" w:line="240" w:lineRule="auto"/>
              <w:jc w:val="center"/>
              <w:rPr>
                <w:rFonts w:ascii="Tahoma" w:eastAsia="Times New Roman" w:hAnsi="Tahoma" w:cs="Tahoma"/>
                <w:b/>
                <w:bCs/>
                <w:color w:val="FFFFFF"/>
                <w:sz w:val="20"/>
                <w:szCs w:val="20"/>
                <w:lang w:eastAsia="it-IT"/>
              </w:rPr>
            </w:pPr>
            <w:proofErr w:type="spellStart"/>
            <w:r>
              <w:rPr>
                <w:rFonts w:ascii="Tahoma" w:eastAsia="Times New Roman" w:hAnsi="Tahoma" w:cs="Tahoma"/>
                <w:b/>
                <w:bCs/>
                <w:color w:val="FFFFFF"/>
                <w:sz w:val="20"/>
                <w:szCs w:val="20"/>
                <w:lang w:eastAsia="it-IT"/>
              </w:rPr>
              <w:t>Var</w:t>
            </w:r>
            <w:proofErr w:type="spellEnd"/>
            <w:r>
              <w:rPr>
                <w:rFonts w:ascii="Tahoma" w:eastAsia="Times New Roman" w:hAnsi="Tahoma" w:cs="Tahoma"/>
                <w:b/>
                <w:bCs/>
                <w:color w:val="FFFFFF"/>
                <w:sz w:val="20"/>
                <w:szCs w:val="20"/>
                <w:lang w:eastAsia="it-IT"/>
              </w:rPr>
              <w:t>. %</w:t>
            </w:r>
            <w:r>
              <w:rPr>
                <w:rFonts w:ascii="Tahoma" w:eastAsia="Times New Roman" w:hAnsi="Tahoma" w:cs="Tahoma"/>
                <w:b/>
                <w:bCs/>
                <w:color w:val="FFFFFF"/>
                <w:sz w:val="20"/>
                <w:szCs w:val="20"/>
                <w:lang w:eastAsia="it-IT"/>
              </w:rPr>
              <w:br/>
              <w:t>2026/2025</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Valle d'Aosta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68</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+15,4</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2</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Trentino-Alto Adige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688</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792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+15,1</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3</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Friuli-Venezia Giulia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1.067</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1.227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+15,0</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4</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Emilia-Romagna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4.753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5.463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+710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5</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Umbria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584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671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+14,9</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6</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Piemonte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3.553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4.078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+525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+14,8</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7</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Toscana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2.653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3.044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+391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+14,7</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8</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Veneto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4.162</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4.774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+611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+14,7</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9</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Abruzzo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815</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934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+119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+14,7</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10</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Lombardia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8.291</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9.496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+1.205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+14,5</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11</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Molise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163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187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+14,5</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12</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Sicilia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963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1.103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+14,5</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13</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Campania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1.190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1.362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+172</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+14,4</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14</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Marche</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961</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1.099</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+14,4</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15</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Liguria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739</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844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+14,3</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16</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Lazio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1.921</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2.195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+274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+14,3</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17</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Basilicata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263</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300</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+14,2</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18</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Puglia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1.249</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1.423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+174</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+14,0</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19</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Calabria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314</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358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+43</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+13,7</w:t>
            </w:r>
          </w:p>
        </w:tc>
      </w:tr>
      <w:tr w:rsidR="00C1460D" w:rsidTr="00C1460D">
        <w:trPr>
          <w:trHeight w:val="300"/>
        </w:trPr>
        <w:tc>
          <w:tcPr>
            <w:tcW w:w="465" w:type="pct"/>
            <w:noWrap/>
            <w:vAlign w:val="bottom"/>
            <w:hideMark/>
          </w:tcPr>
          <w:p w:rsidR="00C1460D" w:rsidRDefault="00C1460D">
            <w:pPr>
              <w:spacing w:after="0" w:line="240" w:lineRule="auto"/>
              <w:jc w:val="center"/>
              <w:rPr>
                <w:rFonts w:eastAsia="Times New Roman" w:cs="Calibri"/>
                <w:color w:val="000000"/>
                <w:lang w:eastAsia="it-IT"/>
              </w:rPr>
            </w:pPr>
            <w:r>
              <w:rPr>
                <w:rFonts w:eastAsia="Times New Roman" w:cs="Calibri"/>
                <w:color w:val="000000"/>
                <w:lang w:eastAsia="it-IT"/>
              </w:rPr>
              <w:t>20</w:t>
            </w: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Sardegna</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+13,4</w:t>
            </w:r>
          </w:p>
        </w:tc>
      </w:tr>
      <w:tr w:rsidR="0042009D" w:rsidRPr="0042009D" w:rsidTr="0042009D">
        <w:trPr>
          <w:trHeight w:val="300"/>
        </w:trPr>
        <w:tc>
          <w:tcPr>
            <w:tcW w:w="465" w:type="pct"/>
            <w:tcBorders>
              <w:top w:val="single" w:sz="4" w:space="0" w:color="auto"/>
              <w:left w:val="nil"/>
              <w:bottom w:val="single" w:sz="4" w:space="0" w:color="auto"/>
              <w:right w:val="nil"/>
            </w:tcBorders>
            <w:shd w:val="clear" w:color="auto" w:fill="FFFF00"/>
            <w:noWrap/>
            <w:vAlign w:val="bottom"/>
            <w:hideMark/>
          </w:tcPr>
          <w:p w:rsidR="00C1460D" w:rsidRPr="0042009D" w:rsidRDefault="00C1460D">
            <w:pPr>
              <w:spacing w:after="0" w:line="240" w:lineRule="auto"/>
              <w:rPr>
                <w:rFonts w:eastAsia="Times New Roman" w:cs="Calibri"/>
                <w:lang w:eastAsia="it-IT"/>
              </w:rPr>
            </w:pPr>
            <w:r w:rsidRPr="0042009D">
              <w:rPr>
                <w:rFonts w:eastAsia="Times New Roman" w:cs="Calibri"/>
                <w:lang w:eastAsia="it-IT"/>
              </w:rPr>
              <w:t> </w:t>
            </w:r>
          </w:p>
        </w:tc>
        <w:tc>
          <w:tcPr>
            <w:tcW w:w="1163" w:type="pct"/>
            <w:tcBorders>
              <w:top w:val="single" w:sz="4" w:space="0" w:color="auto"/>
              <w:left w:val="nil"/>
              <w:bottom w:val="single" w:sz="4" w:space="0" w:color="auto"/>
              <w:right w:val="nil"/>
            </w:tcBorders>
            <w:shd w:val="clear" w:color="auto" w:fill="FFFF00"/>
            <w:vAlign w:val="center"/>
            <w:hideMark/>
          </w:tcPr>
          <w:p w:rsidR="00C1460D" w:rsidRPr="0042009D" w:rsidRDefault="00C1460D">
            <w:pPr>
              <w:spacing w:after="0" w:line="240" w:lineRule="auto"/>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ITALIA</w:t>
            </w:r>
          </w:p>
        </w:tc>
        <w:tc>
          <w:tcPr>
            <w:tcW w:w="843" w:type="pct"/>
            <w:tcBorders>
              <w:top w:val="single" w:sz="4" w:space="0" w:color="auto"/>
              <w:left w:val="single" w:sz="4" w:space="0" w:color="auto"/>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34.402</w:t>
            </w:r>
          </w:p>
        </w:tc>
        <w:tc>
          <w:tcPr>
            <w:tcW w:w="843" w:type="pct"/>
            <w:tcBorders>
              <w:top w:val="single" w:sz="4" w:space="0" w:color="auto"/>
              <w:left w:val="nil"/>
              <w:bottom w:val="single" w:sz="4" w:space="0" w:color="auto"/>
              <w:right w:val="single" w:sz="4" w:space="0" w:color="FFFFFF"/>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39.435</w:t>
            </w:r>
          </w:p>
        </w:tc>
        <w:tc>
          <w:tcPr>
            <w:tcW w:w="843" w:type="pct"/>
            <w:tcBorders>
              <w:top w:val="single" w:sz="4" w:space="0" w:color="auto"/>
              <w:left w:val="nil"/>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+5.032</w:t>
            </w:r>
          </w:p>
        </w:tc>
        <w:tc>
          <w:tcPr>
            <w:tcW w:w="843" w:type="pct"/>
            <w:tcBorders>
              <w:top w:val="single" w:sz="4" w:space="0" w:color="auto"/>
              <w:left w:val="nil"/>
              <w:bottom w:val="single" w:sz="4" w:space="0" w:color="auto"/>
              <w:right w:val="nil"/>
            </w:tcBorders>
            <w:shd w:val="clear" w:color="auto" w:fill="FFFF00"/>
            <w:noWrap/>
            <w:vAlign w:val="center"/>
            <w:hideMark/>
          </w:tcPr>
          <w:p w:rsidR="00C1460D" w:rsidRPr="0042009D" w:rsidRDefault="00C1460D">
            <w:pPr>
              <w:spacing w:after="0" w:line="240" w:lineRule="auto"/>
              <w:jc w:val="center"/>
              <w:rPr>
                <w:rFonts w:ascii="Tahoma" w:eastAsia="Times New Roman" w:hAnsi="Tahoma" w:cs="Tahoma"/>
                <w:b/>
                <w:bCs/>
                <w:sz w:val="18"/>
                <w:szCs w:val="18"/>
                <w:lang w:eastAsia="it-IT"/>
              </w:rPr>
            </w:pPr>
            <w:r w:rsidRPr="0042009D">
              <w:rPr>
                <w:rFonts w:ascii="Tahoma" w:eastAsia="Times New Roman" w:hAnsi="Tahoma" w:cs="Tahoma"/>
                <w:b/>
                <w:bCs/>
                <w:sz w:val="18"/>
                <w:szCs w:val="18"/>
                <w:lang w:eastAsia="it-IT"/>
              </w:rPr>
              <w:t>+14,6</w:t>
            </w:r>
          </w:p>
        </w:tc>
      </w:tr>
      <w:tr w:rsidR="00C1460D" w:rsidTr="00C1460D">
        <w:trPr>
          <w:trHeight w:val="300"/>
        </w:trPr>
        <w:tc>
          <w:tcPr>
            <w:tcW w:w="465" w:type="pct"/>
            <w:noWrap/>
            <w:vAlign w:val="bottom"/>
            <w:hideMark/>
          </w:tcPr>
          <w:p w:rsidR="00C1460D" w:rsidRDefault="00C1460D">
            <w:pPr>
              <w:rPr>
                <w:rFonts w:ascii="Tahoma" w:eastAsia="Times New Roman" w:hAnsi="Tahoma" w:cs="Tahoma"/>
                <w:b/>
                <w:bCs/>
                <w:color w:val="FFFFFF"/>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NORD OVEST</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12.651</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14.497</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+1.846</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+14,6</w:t>
            </w:r>
          </w:p>
        </w:tc>
      </w:tr>
      <w:tr w:rsidR="00C1460D" w:rsidTr="00C1460D">
        <w:trPr>
          <w:trHeight w:val="300"/>
        </w:trPr>
        <w:tc>
          <w:tcPr>
            <w:tcW w:w="465" w:type="pct"/>
            <w:noWrap/>
            <w:vAlign w:val="bottom"/>
            <w:hideMark/>
          </w:tcPr>
          <w:p w:rsidR="00C1460D" w:rsidRDefault="00C1460D">
            <w:pPr>
              <w:rPr>
                <w:rFonts w:ascii="Tahoma" w:eastAsia="Times New Roman" w:hAnsi="Tahoma" w:cs="Tahoma"/>
                <w:color w:val="000000"/>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NORD EST</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10.670</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12.255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+1.585</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+14,9</w:t>
            </w:r>
          </w:p>
        </w:tc>
      </w:tr>
      <w:tr w:rsidR="00C1460D" w:rsidTr="00C1460D">
        <w:trPr>
          <w:trHeight w:val="300"/>
        </w:trPr>
        <w:tc>
          <w:tcPr>
            <w:tcW w:w="465" w:type="pct"/>
            <w:noWrap/>
            <w:vAlign w:val="bottom"/>
            <w:hideMark/>
          </w:tcPr>
          <w:p w:rsidR="00C1460D" w:rsidRDefault="00C1460D">
            <w:pPr>
              <w:rPr>
                <w:rFonts w:ascii="Tahoma" w:eastAsia="Times New Roman" w:hAnsi="Tahoma" w:cs="Tahoma"/>
                <w:color w:val="000000"/>
                <w:sz w:val="18"/>
                <w:szCs w:val="18"/>
                <w:lang w:eastAsia="it-IT"/>
              </w:rPr>
            </w:pPr>
          </w:p>
        </w:tc>
        <w:tc>
          <w:tcPr>
            <w:tcW w:w="1163" w:type="pct"/>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CENTRO</w:t>
            </w:r>
          </w:p>
        </w:tc>
        <w:tc>
          <w:tcPr>
            <w:tcW w:w="843" w:type="pct"/>
            <w:tcBorders>
              <w:top w:val="nil"/>
              <w:left w:val="single" w:sz="4" w:space="0" w:color="auto"/>
              <w:bottom w:val="nil"/>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6.118</w:t>
            </w:r>
          </w:p>
        </w:tc>
        <w:tc>
          <w:tcPr>
            <w:tcW w:w="843" w:type="pct"/>
            <w:tcBorders>
              <w:top w:val="nil"/>
              <w:left w:val="nil"/>
              <w:bottom w:val="nil"/>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7.008</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+891</w:t>
            </w:r>
          </w:p>
        </w:tc>
        <w:tc>
          <w:tcPr>
            <w:tcW w:w="843" w:type="pct"/>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+14,6</w:t>
            </w:r>
          </w:p>
        </w:tc>
      </w:tr>
      <w:tr w:rsidR="00C1460D" w:rsidTr="00C1460D">
        <w:trPr>
          <w:trHeight w:val="300"/>
        </w:trPr>
        <w:tc>
          <w:tcPr>
            <w:tcW w:w="465" w:type="pct"/>
            <w:tcBorders>
              <w:top w:val="nil"/>
              <w:left w:val="nil"/>
              <w:bottom w:val="single" w:sz="4" w:space="0" w:color="auto"/>
              <w:right w:val="nil"/>
            </w:tcBorders>
            <w:noWrap/>
            <w:vAlign w:val="bottom"/>
            <w:hideMark/>
          </w:tcPr>
          <w:p w:rsidR="00C1460D" w:rsidRDefault="00C1460D">
            <w:pPr>
              <w:spacing w:after="0" w:line="240" w:lineRule="auto"/>
              <w:rPr>
                <w:rFonts w:eastAsia="Times New Roman" w:cs="Calibri"/>
                <w:color w:val="000000"/>
                <w:lang w:eastAsia="it-IT"/>
              </w:rPr>
            </w:pPr>
            <w:r>
              <w:rPr>
                <w:rFonts w:eastAsia="Times New Roman" w:cs="Calibri"/>
                <w:color w:val="000000"/>
                <w:lang w:eastAsia="it-IT"/>
              </w:rPr>
              <w:t> </w:t>
            </w:r>
          </w:p>
        </w:tc>
        <w:tc>
          <w:tcPr>
            <w:tcW w:w="1163" w:type="pct"/>
            <w:tcBorders>
              <w:top w:val="nil"/>
              <w:left w:val="nil"/>
              <w:bottom w:val="single" w:sz="4" w:space="0" w:color="auto"/>
              <w:right w:val="nil"/>
            </w:tcBorders>
            <w:vAlign w:val="center"/>
            <w:hideMark/>
          </w:tcPr>
          <w:p w:rsidR="00C1460D" w:rsidRDefault="00C1460D">
            <w:pPr>
              <w:spacing w:after="0" w:line="240" w:lineRule="auto"/>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MEZZOGIORNO</w:t>
            </w:r>
          </w:p>
        </w:tc>
        <w:tc>
          <w:tcPr>
            <w:tcW w:w="843" w:type="pct"/>
            <w:tcBorders>
              <w:top w:val="nil"/>
              <w:left w:val="single" w:sz="4" w:space="0" w:color="auto"/>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4.964</w:t>
            </w:r>
          </w:p>
        </w:tc>
        <w:tc>
          <w:tcPr>
            <w:tcW w:w="843" w:type="pct"/>
            <w:tcBorders>
              <w:top w:val="nil"/>
              <w:left w:val="nil"/>
              <w:bottom w:val="single" w:sz="4" w:space="0" w:color="auto"/>
              <w:right w:val="single" w:sz="4" w:space="0" w:color="auto"/>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5.674</w:t>
            </w:r>
          </w:p>
        </w:tc>
        <w:tc>
          <w:tcPr>
            <w:tcW w:w="843" w:type="pct"/>
            <w:tcBorders>
              <w:top w:val="nil"/>
              <w:left w:val="nil"/>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+710</w:t>
            </w:r>
          </w:p>
        </w:tc>
        <w:tc>
          <w:tcPr>
            <w:tcW w:w="843" w:type="pct"/>
            <w:tcBorders>
              <w:top w:val="nil"/>
              <w:left w:val="nil"/>
              <w:bottom w:val="single" w:sz="4" w:space="0" w:color="auto"/>
              <w:right w:val="nil"/>
            </w:tcBorders>
            <w:noWrap/>
            <w:vAlign w:val="center"/>
            <w:hideMark/>
          </w:tcPr>
          <w:p w:rsidR="00C1460D" w:rsidRDefault="00C1460D">
            <w:pPr>
              <w:spacing w:after="0" w:line="240" w:lineRule="auto"/>
              <w:jc w:val="center"/>
              <w:rPr>
                <w:rFonts w:ascii="Tahoma" w:eastAsia="Times New Roman" w:hAnsi="Tahoma" w:cs="Tahoma"/>
                <w:color w:val="000000"/>
                <w:sz w:val="18"/>
                <w:szCs w:val="18"/>
                <w:lang w:eastAsia="it-IT"/>
              </w:rPr>
            </w:pPr>
            <w:r>
              <w:rPr>
                <w:rFonts w:ascii="Tahoma" w:eastAsia="Times New Roman" w:hAnsi="Tahoma" w:cs="Tahoma"/>
                <w:color w:val="000000"/>
                <w:sz w:val="18"/>
                <w:szCs w:val="18"/>
                <w:lang w:eastAsia="it-IT"/>
              </w:rPr>
              <w:t>+14,3</w:t>
            </w:r>
          </w:p>
        </w:tc>
      </w:tr>
    </w:tbl>
    <w:p w:rsidR="00C1460D" w:rsidRDefault="00C1460D" w:rsidP="00C1460D">
      <w:pPr>
        <w:spacing w:before="120" w:after="0" w:line="240" w:lineRule="auto"/>
        <w:jc w:val="center"/>
        <w:rPr>
          <w:rFonts w:ascii="Verdana" w:hAnsi="Verdana" w:cs="Tahoma"/>
          <w:sz w:val="18"/>
          <w:szCs w:val="18"/>
        </w:rPr>
      </w:pPr>
      <w:r>
        <w:rPr>
          <w:rFonts w:ascii="Verdana" w:hAnsi="Verdana" w:cs="Tahoma"/>
          <w:sz w:val="18"/>
          <w:szCs w:val="18"/>
        </w:rPr>
        <w:t xml:space="preserve">Elaborazione Ufficio Studi CGIA su dati Terna, </w:t>
      </w:r>
      <w:proofErr w:type="spellStart"/>
      <w:r>
        <w:rPr>
          <w:rFonts w:ascii="Verdana" w:hAnsi="Verdana" w:cs="Tahoma"/>
          <w:sz w:val="18"/>
          <w:szCs w:val="18"/>
        </w:rPr>
        <w:t>Arera</w:t>
      </w:r>
      <w:proofErr w:type="spellEnd"/>
      <w:r>
        <w:rPr>
          <w:rFonts w:ascii="Verdana" w:hAnsi="Verdana" w:cs="Tahoma"/>
          <w:sz w:val="18"/>
          <w:szCs w:val="18"/>
        </w:rPr>
        <w:t>, Eurostat e GME</w:t>
      </w:r>
    </w:p>
    <w:p w:rsidR="00C1460D" w:rsidRDefault="00C1460D" w:rsidP="00C1460D">
      <w:pPr>
        <w:spacing w:after="0"/>
        <w:jc w:val="center"/>
        <w:rPr>
          <w:rFonts w:ascii="Verdana" w:hAnsi="Verdana"/>
          <w:sz w:val="18"/>
          <w:szCs w:val="18"/>
        </w:rPr>
      </w:pPr>
      <w:r>
        <w:rPr>
          <w:rFonts w:ascii="Verdana" w:hAnsi="Verdana"/>
          <w:sz w:val="18"/>
          <w:szCs w:val="18"/>
        </w:rPr>
        <w:t xml:space="preserve"> </w:t>
      </w:r>
    </w:p>
    <w:p w:rsidR="00C1460D" w:rsidRDefault="00C1460D" w:rsidP="00C1460D">
      <w:pPr>
        <w:spacing w:after="0"/>
        <w:jc w:val="center"/>
        <w:rPr>
          <w:rFonts w:ascii="Verdana" w:hAnsi="Verdana"/>
          <w:sz w:val="18"/>
          <w:szCs w:val="18"/>
        </w:rPr>
      </w:pPr>
    </w:p>
    <w:p w:rsidR="00C1460D" w:rsidRDefault="00C1460D" w:rsidP="00C1460D">
      <w:pPr>
        <w:spacing w:after="0"/>
        <w:jc w:val="center"/>
        <w:rPr>
          <w:rFonts w:ascii="Verdana" w:hAnsi="Verdana"/>
          <w:sz w:val="18"/>
          <w:szCs w:val="18"/>
        </w:rPr>
      </w:pPr>
    </w:p>
    <w:p w:rsidR="00FC034D" w:rsidRPr="00487EF2" w:rsidRDefault="00FC034D" w:rsidP="001553EF">
      <w:pPr>
        <w:spacing w:before="100" w:beforeAutospacing="1" w:after="100" w:afterAutospacing="1" w:line="360" w:lineRule="auto"/>
        <w:contextualSpacing/>
        <w:jc w:val="both"/>
        <w:rPr>
          <w:rFonts w:ascii="Verdana" w:hAnsi="Verdana"/>
          <w:b/>
          <w:sz w:val="28"/>
          <w:szCs w:val="28"/>
        </w:rPr>
      </w:pPr>
    </w:p>
    <w:sectPr w:rsidR="00FC034D" w:rsidRPr="00487EF2" w:rsidSect="00D4694A">
      <w:footerReference w:type="default" r:id="rId11"/>
      <w:footerReference w:type="first" r:id="rId12"/>
      <w:pgSz w:w="12240" w:h="15840"/>
      <w:pgMar w:top="1417" w:right="1134" w:bottom="1134" w:left="1134" w:header="96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3DFD" w:rsidRDefault="007A3DFD" w:rsidP="00854452">
      <w:pPr>
        <w:spacing w:after="0" w:line="240" w:lineRule="auto"/>
      </w:pPr>
      <w:r>
        <w:separator/>
      </w:r>
    </w:p>
  </w:endnote>
  <w:endnote w:type="continuationSeparator" w:id="0">
    <w:p w:rsidR="007A3DFD" w:rsidRDefault="007A3DFD" w:rsidP="0085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975"/>
      <w:gridCol w:w="997"/>
    </w:tblGrid>
    <w:tr w:rsidR="00DD6A2F" w:rsidTr="00565A72">
      <w:tc>
        <w:tcPr>
          <w:tcW w:w="4500" w:type="pct"/>
          <w:tcBorders>
            <w:top w:val="single" w:sz="4" w:space="0" w:color="000000"/>
          </w:tcBorders>
        </w:tcPr>
        <w:p w:rsidR="00DD6A2F" w:rsidRPr="00D4694A" w:rsidRDefault="00DD6A2F" w:rsidP="00A06CAB">
          <w:pPr>
            <w:pStyle w:val="Pidipagina"/>
            <w:jc w:val="both"/>
            <w:rPr>
              <w:rFonts w:ascii="Verdana" w:hAnsi="Verdana"/>
              <w:sz w:val="16"/>
              <w:szCs w:val="16"/>
            </w:rPr>
          </w:pPr>
          <w:r w:rsidRPr="00D4694A">
            <w:rPr>
              <w:rFonts w:ascii="Verdana" w:hAnsi="Verdana"/>
              <w:sz w:val="16"/>
              <w:szCs w:val="16"/>
            </w:rPr>
            <w:t xml:space="preserve">Ufficio Studi </w:t>
          </w:r>
          <w:proofErr w:type="spellStart"/>
          <w:r w:rsidRPr="00D4694A">
            <w:rPr>
              <w:rFonts w:ascii="Verdana" w:hAnsi="Verdana"/>
              <w:sz w:val="16"/>
              <w:szCs w:val="16"/>
            </w:rPr>
            <w:t>CGI</w:t>
          </w:r>
          <w:r w:rsidRPr="00D4694A">
            <w:rPr>
              <w:rFonts w:ascii="Verdana" w:hAnsi="Verdana"/>
              <w:szCs w:val="16"/>
            </w:rPr>
            <w:t>a</w:t>
          </w:r>
          <w:proofErr w:type="spellEnd"/>
          <w:r w:rsidRPr="00D4694A">
            <w:rPr>
              <w:rFonts w:ascii="Verdana" w:hAnsi="Verdana"/>
              <w:sz w:val="16"/>
              <w:szCs w:val="16"/>
            </w:rPr>
            <w:t xml:space="preserve"> – Associazione Artigiani e Piccole Imprese Mestre – </w:t>
          </w:r>
          <w:proofErr w:type="spellStart"/>
          <w:r w:rsidRPr="00D4694A">
            <w:rPr>
              <w:rFonts w:ascii="Verdana" w:hAnsi="Verdana"/>
              <w:sz w:val="16"/>
              <w:szCs w:val="16"/>
            </w:rPr>
            <w:t>CGI</w:t>
          </w:r>
          <w:r w:rsidRPr="00D4694A">
            <w:rPr>
              <w:rFonts w:ascii="Verdana" w:hAnsi="Verdana"/>
              <w:szCs w:val="16"/>
            </w:rPr>
            <w:t>a</w:t>
          </w:r>
          <w:proofErr w:type="spellEnd"/>
          <w:r w:rsidRPr="00D4694A">
            <w:rPr>
              <w:rFonts w:ascii="Verdana" w:hAnsi="Verdana"/>
              <w:sz w:val="16"/>
              <w:szCs w:val="16"/>
            </w:rPr>
            <w:t xml:space="preserve"> </w:t>
          </w:r>
        </w:p>
        <w:p w:rsidR="00DD6A2F" w:rsidRDefault="00DD6A2F" w:rsidP="00A06CAB">
          <w:pPr>
            <w:pStyle w:val="Pidipagina"/>
            <w:jc w:val="both"/>
          </w:pPr>
          <w:r w:rsidRPr="00D4694A">
            <w:rPr>
              <w:rFonts w:ascii="Verdana" w:hAnsi="Verdana"/>
              <w:sz w:val="16"/>
              <w:szCs w:val="16"/>
            </w:rPr>
            <w:t xml:space="preserve">Via Torre </w:t>
          </w:r>
          <w:proofErr w:type="spellStart"/>
          <w:r w:rsidRPr="00D4694A">
            <w:rPr>
              <w:rFonts w:ascii="Verdana" w:hAnsi="Verdana"/>
              <w:sz w:val="16"/>
              <w:szCs w:val="16"/>
            </w:rPr>
            <w:t>Belfredo</w:t>
          </w:r>
          <w:proofErr w:type="spellEnd"/>
          <w:r w:rsidRPr="00D4694A">
            <w:rPr>
              <w:rFonts w:ascii="Verdana" w:hAnsi="Verdana"/>
              <w:sz w:val="16"/>
              <w:szCs w:val="16"/>
            </w:rPr>
            <w:t xml:space="preserve"> 81/e – 30174 Venezia-Mestre –</w:t>
          </w:r>
          <w:r>
            <w:rPr>
              <w:rFonts w:ascii="Verdana" w:hAnsi="Verdana"/>
              <w:sz w:val="16"/>
              <w:szCs w:val="16"/>
            </w:rPr>
            <w:t xml:space="preserve"> www.cgiamestre.com</w:t>
          </w:r>
        </w:p>
      </w:tc>
      <w:tc>
        <w:tcPr>
          <w:tcW w:w="500" w:type="pct"/>
          <w:tcBorders>
            <w:top w:val="single" w:sz="4" w:space="0" w:color="C0504D"/>
          </w:tcBorders>
          <w:shd w:val="clear" w:color="auto" w:fill="943634"/>
        </w:tcPr>
        <w:p w:rsidR="00DD6A2F" w:rsidRPr="00A56960" w:rsidRDefault="00DD6A2F">
          <w:pPr>
            <w:pStyle w:val="Intestazione"/>
            <w:rPr>
              <w:rFonts w:ascii="Verdana" w:hAnsi="Verdana"/>
              <w:color w:val="FFFFFF"/>
            </w:rPr>
          </w:pPr>
          <w:r w:rsidRPr="000B06A8">
            <w:rPr>
              <w:rFonts w:ascii="Verdana" w:hAnsi="Verdana"/>
              <w:sz w:val="20"/>
            </w:rPr>
            <w:fldChar w:fldCharType="begin"/>
          </w:r>
          <w:r w:rsidRPr="000B06A8">
            <w:rPr>
              <w:rFonts w:ascii="Verdana" w:hAnsi="Verdana"/>
              <w:sz w:val="20"/>
            </w:rPr>
            <w:instrText>PAGE   \* MERGEFORMAT</w:instrText>
          </w:r>
          <w:r w:rsidRPr="000B06A8">
            <w:rPr>
              <w:rFonts w:ascii="Verdana" w:hAnsi="Verdana"/>
              <w:sz w:val="20"/>
            </w:rPr>
            <w:fldChar w:fldCharType="separate"/>
          </w:r>
          <w:r w:rsidRPr="000645B1">
            <w:rPr>
              <w:rFonts w:ascii="Verdana" w:hAnsi="Verdana"/>
              <w:noProof/>
              <w:color w:val="FFFFFF"/>
              <w:sz w:val="20"/>
            </w:rPr>
            <w:t>2</w:t>
          </w:r>
          <w:r w:rsidRPr="000B06A8">
            <w:rPr>
              <w:rFonts w:ascii="Verdana" w:hAnsi="Verdana"/>
              <w:color w:val="FFFFFF"/>
              <w:sz w:val="20"/>
            </w:rPr>
            <w:fldChar w:fldCharType="end"/>
          </w:r>
        </w:p>
      </w:tc>
    </w:tr>
  </w:tbl>
  <w:p w:rsidR="00DD6A2F" w:rsidRDefault="00DD6A2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A2F" w:rsidRPr="00D4694A" w:rsidRDefault="00DD6A2F" w:rsidP="00D4694A">
    <w:pPr>
      <w:pStyle w:val="Pidipagina"/>
      <w:jc w:val="both"/>
      <w:rPr>
        <w:rFonts w:ascii="Verdana" w:hAnsi="Verdana"/>
        <w:sz w:val="16"/>
        <w:szCs w:val="16"/>
      </w:rPr>
    </w:pPr>
    <w:r>
      <w:rPr>
        <w:rFonts w:ascii="Verdana" w:hAnsi="Verdana"/>
        <w:sz w:val="16"/>
        <w:szCs w:val="16"/>
      </w:rPr>
      <w:t>_________________________________________________________________________________________________</w:t>
    </w:r>
    <w:r w:rsidRPr="00D4694A">
      <w:rPr>
        <w:rFonts w:ascii="Verdana" w:hAnsi="Verdana"/>
        <w:sz w:val="16"/>
        <w:szCs w:val="16"/>
      </w:rPr>
      <w:t xml:space="preserve">Ufficio Studi </w:t>
    </w:r>
    <w:proofErr w:type="spellStart"/>
    <w:r w:rsidRPr="00D4694A">
      <w:rPr>
        <w:rFonts w:ascii="Verdana" w:hAnsi="Verdana"/>
        <w:sz w:val="16"/>
        <w:szCs w:val="16"/>
      </w:rPr>
      <w:t>CGI</w:t>
    </w:r>
    <w:r w:rsidRPr="00D4694A">
      <w:rPr>
        <w:rFonts w:ascii="Verdana" w:hAnsi="Verdana"/>
        <w:szCs w:val="16"/>
      </w:rPr>
      <w:t>a</w:t>
    </w:r>
    <w:proofErr w:type="spellEnd"/>
    <w:r w:rsidRPr="00D4694A">
      <w:rPr>
        <w:rFonts w:ascii="Verdana" w:hAnsi="Verdana"/>
        <w:sz w:val="16"/>
        <w:szCs w:val="16"/>
      </w:rPr>
      <w:t xml:space="preserve"> – Associazione Artigiani e Piccole Imprese Mestre – </w:t>
    </w:r>
    <w:proofErr w:type="spellStart"/>
    <w:r w:rsidRPr="00D4694A">
      <w:rPr>
        <w:rFonts w:ascii="Verdana" w:hAnsi="Verdana"/>
        <w:sz w:val="16"/>
        <w:szCs w:val="16"/>
      </w:rPr>
      <w:t>CGI</w:t>
    </w:r>
    <w:r w:rsidRPr="00D4694A">
      <w:rPr>
        <w:rFonts w:ascii="Verdana" w:hAnsi="Verdana"/>
        <w:szCs w:val="16"/>
      </w:rPr>
      <w:t>a</w:t>
    </w:r>
    <w:proofErr w:type="spellEnd"/>
    <w:r w:rsidRPr="00D4694A">
      <w:rPr>
        <w:rFonts w:ascii="Verdana" w:hAnsi="Verdana"/>
        <w:sz w:val="16"/>
        <w:szCs w:val="16"/>
      </w:rPr>
      <w:t xml:space="preserve"> </w:t>
    </w:r>
  </w:p>
  <w:p w:rsidR="00DD6A2F" w:rsidRDefault="00DD6A2F" w:rsidP="00D4694A">
    <w:pPr>
      <w:pStyle w:val="Pidipagina"/>
    </w:pPr>
    <w:r w:rsidRPr="00D4694A">
      <w:rPr>
        <w:rFonts w:ascii="Verdana" w:hAnsi="Verdana"/>
        <w:sz w:val="16"/>
        <w:szCs w:val="16"/>
      </w:rPr>
      <w:t xml:space="preserve">Via Torre </w:t>
    </w:r>
    <w:proofErr w:type="spellStart"/>
    <w:r w:rsidRPr="00D4694A">
      <w:rPr>
        <w:rFonts w:ascii="Verdana" w:hAnsi="Verdana"/>
        <w:sz w:val="16"/>
        <w:szCs w:val="16"/>
      </w:rPr>
      <w:t>Belfredo</w:t>
    </w:r>
    <w:proofErr w:type="spellEnd"/>
    <w:r w:rsidRPr="00D4694A">
      <w:rPr>
        <w:rFonts w:ascii="Verdana" w:hAnsi="Verdana"/>
        <w:sz w:val="16"/>
        <w:szCs w:val="16"/>
      </w:rPr>
      <w:t xml:space="preserve"> 81/e – 30174 Venezia-Mestre –</w:t>
    </w:r>
    <w:r>
      <w:rPr>
        <w:rFonts w:ascii="Verdana" w:hAnsi="Verdana"/>
        <w:sz w:val="16"/>
        <w:szCs w:val="16"/>
      </w:rPr>
      <w:t xml:space="preserve"> </w:t>
    </w:r>
    <w:r w:rsidRPr="00C763A0">
      <w:rPr>
        <w:rFonts w:ascii="Verdana" w:hAnsi="Verdana"/>
        <w:sz w:val="16"/>
        <w:szCs w:val="16"/>
      </w:rPr>
      <w:t>www.cgiamestre.com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3DFD" w:rsidRDefault="007A3DFD" w:rsidP="00854452">
      <w:pPr>
        <w:spacing w:after="0" w:line="240" w:lineRule="auto"/>
      </w:pPr>
      <w:r>
        <w:separator/>
      </w:r>
    </w:p>
  </w:footnote>
  <w:footnote w:type="continuationSeparator" w:id="0">
    <w:p w:rsidR="007A3DFD" w:rsidRDefault="007A3DFD" w:rsidP="00854452">
      <w:pPr>
        <w:spacing w:after="0" w:line="240" w:lineRule="auto"/>
      </w:pPr>
      <w:r>
        <w:continuationSeparator/>
      </w:r>
    </w:p>
  </w:footnote>
  <w:footnote w:id="1">
    <w:p w:rsidR="006511AD" w:rsidRPr="00DC1697" w:rsidRDefault="006511AD">
      <w:pPr>
        <w:pStyle w:val="Testonotaapidipagina"/>
        <w:rPr>
          <w:rFonts w:ascii="Verdana" w:hAnsi="Verdana"/>
        </w:rPr>
      </w:pPr>
      <w:r w:rsidRPr="00DC1697">
        <w:rPr>
          <w:rStyle w:val="Rimandonotaapidipagina"/>
          <w:rFonts w:ascii="Verdana" w:hAnsi="Verdana"/>
        </w:rPr>
        <w:footnoteRef/>
      </w:r>
      <w:r w:rsidRPr="00DC1697">
        <w:rPr>
          <w:rFonts w:ascii="Verdana" w:hAnsi="Verdana"/>
        </w:rPr>
        <w:t xml:space="preserve"> </w:t>
      </w:r>
      <w:r w:rsidR="00814DDE" w:rsidRPr="00DC1697">
        <w:rPr>
          <w:rFonts w:ascii="Verdana" w:hAnsi="Verdana"/>
        </w:rPr>
        <w:t>Le ostilità sono</w:t>
      </w:r>
      <w:r w:rsidRPr="00DC1697">
        <w:rPr>
          <w:rFonts w:ascii="Verdana" w:hAnsi="Verdana"/>
        </w:rPr>
        <w:t xml:space="preserve"> iniziat</w:t>
      </w:r>
      <w:r w:rsidR="00814DDE" w:rsidRPr="00DC1697">
        <w:rPr>
          <w:rFonts w:ascii="Verdana" w:hAnsi="Verdana"/>
        </w:rPr>
        <w:t>e</w:t>
      </w:r>
      <w:r w:rsidRPr="00DC1697">
        <w:rPr>
          <w:rFonts w:ascii="Verdana" w:hAnsi="Verdana"/>
        </w:rPr>
        <w:t xml:space="preserve"> il 28 febbraio 2026</w:t>
      </w:r>
      <w:r w:rsidR="00547102">
        <w:rPr>
          <w:rFonts w:ascii="Verdana" w:hAnsi="Verdana"/>
        </w:rPr>
        <w:t>.</w:t>
      </w:r>
    </w:p>
  </w:footnote>
  <w:footnote w:id="2">
    <w:p w:rsidR="00DC1697" w:rsidRPr="00DC1697" w:rsidRDefault="00DC1697" w:rsidP="00DC1697">
      <w:pPr>
        <w:spacing w:after="120"/>
        <w:jc w:val="both"/>
        <w:rPr>
          <w:rFonts w:ascii="Verdana" w:hAnsi="Verdana"/>
          <w:sz w:val="20"/>
          <w:szCs w:val="20"/>
        </w:rPr>
      </w:pPr>
      <w:r w:rsidRPr="00DC1697">
        <w:rPr>
          <w:rStyle w:val="Rimandonotaapidipagina"/>
          <w:rFonts w:ascii="Verdana" w:hAnsi="Verdana"/>
          <w:sz w:val="20"/>
          <w:szCs w:val="20"/>
        </w:rPr>
        <w:footnoteRef/>
      </w:r>
      <w:r w:rsidRPr="00DC1697">
        <w:rPr>
          <w:rFonts w:ascii="Verdana" w:hAnsi="Verdana"/>
          <w:sz w:val="20"/>
          <w:szCs w:val="20"/>
        </w:rPr>
        <w:t xml:space="preserve"> </w:t>
      </w:r>
      <w:r>
        <w:rPr>
          <w:rFonts w:ascii="Verdana" w:hAnsi="Verdana"/>
          <w:sz w:val="20"/>
          <w:szCs w:val="20"/>
        </w:rPr>
        <w:t>Le s</w:t>
      </w:r>
      <w:r w:rsidRPr="00DC1697">
        <w:rPr>
          <w:rFonts w:ascii="Verdana" w:hAnsi="Verdana"/>
          <w:sz w:val="20"/>
          <w:szCs w:val="20"/>
        </w:rPr>
        <w:t>time su</w:t>
      </w:r>
      <w:r>
        <w:rPr>
          <w:rFonts w:ascii="Verdana" w:hAnsi="Verdana"/>
          <w:sz w:val="20"/>
          <w:szCs w:val="20"/>
        </w:rPr>
        <w:t xml:space="preserve">l prezzo della </w:t>
      </w:r>
      <w:r w:rsidRPr="00DC1697">
        <w:rPr>
          <w:rFonts w:ascii="Verdana" w:hAnsi="Verdana"/>
          <w:sz w:val="20"/>
          <w:szCs w:val="20"/>
        </w:rPr>
        <w:t xml:space="preserve">benzina e </w:t>
      </w:r>
      <w:r>
        <w:rPr>
          <w:rFonts w:ascii="Verdana" w:hAnsi="Verdana"/>
          <w:sz w:val="20"/>
          <w:szCs w:val="20"/>
        </w:rPr>
        <w:t>del diesel sono</w:t>
      </w:r>
      <w:r w:rsidRPr="00DC1697">
        <w:rPr>
          <w:rFonts w:ascii="Verdana" w:hAnsi="Verdana"/>
          <w:sz w:val="20"/>
          <w:szCs w:val="20"/>
        </w:rPr>
        <w:t xml:space="preserve"> calcolate a partire dai dati sui consumi 2025 del Ministero dell'ambiente e della sicurezza energetica (MASE) e sui prezzi medi dei 2 carburanti nel 2025 (benzina 1,733 euro al litro e gasolio 1,653 euro al litro); sono stati ipotizzati per il 2026 gli stessi livelli di consumo del 2025 e prezzi medi pari a 1,950 euro per la benzina e di 2,050 euro per il gasolio: </w:t>
      </w:r>
      <w:r w:rsidRPr="00DC1697">
        <w:rPr>
          <w:rFonts w:ascii="Verdana" w:hAnsi="Verdana"/>
          <w:sz w:val="20"/>
          <w:szCs w:val="20"/>
          <w:u w:val="single"/>
        </w:rPr>
        <w:t>si tratta di prezzi (medi annui di benzina e gasolio) di poco inferiori a quelli registrati in questa settimana (dal 20/07/2026) e che si verificherebbero su base annua ipotizzando questi ultimi prezzi costanti per i prossimi 5 mesi dell’anno</w:t>
      </w:r>
      <w:r w:rsidRPr="00DC1697">
        <w:rPr>
          <w:rFonts w:ascii="Verdana" w:hAnsi="Verdana"/>
          <w:sz w:val="20"/>
          <w:szCs w:val="20"/>
        </w:rPr>
        <w:t xml:space="preserve">.      </w:t>
      </w:r>
    </w:p>
    <w:p w:rsidR="00DC1697" w:rsidRPr="00DC1697" w:rsidRDefault="00DC1697" w:rsidP="00DC1697">
      <w:pPr>
        <w:spacing w:after="120"/>
        <w:jc w:val="both"/>
        <w:rPr>
          <w:rFonts w:ascii="Verdana" w:hAnsi="Verdana"/>
          <w:sz w:val="20"/>
          <w:szCs w:val="20"/>
        </w:rPr>
      </w:pPr>
      <w:r>
        <w:rPr>
          <w:rFonts w:ascii="Verdana" w:hAnsi="Verdana"/>
          <w:sz w:val="20"/>
          <w:szCs w:val="20"/>
        </w:rPr>
        <w:t>Le s</w:t>
      </w:r>
      <w:r w:rsidRPr="00DC1697">
        <w:rPr>
          <w:rFonts w:ascii="Verdana" w:hAnsi="Verdana"/>
          <w:sz w:val="20"/>
          <w:szCs w:val="20"/>
        </w:rPr>
        <w:t xml:space="preserve">time su energia elettrica e gas </w:t>
      </w:r>
      <w:r>
        <w:rPr>
          <w:rFonts w:ascii="Verdana" w:hAnsi="Verdana"/>
          <w:sz w:val="20"/>
          <w:szCs w:val="20"/>
        </w:rPr>
        <w:t>sono state realizzate</w:t>
      </w:r>
      <w:r w:rsidRPr="00DC1697">
        <w:rPr>
          <w:rFonts w:ascii="Verdana" w:hAnsi="Verdana"/>
          <w:sz w:val="20"/>
          <w:szCs w:val="20"/>
        </w:rPr>
        <w:t xml:space="preserve"> a partire dai dati sui consumi del 2024 da parte delle imprese (ipotizzati costanti per gli anni 2025-2026) e sui relativi prezzi medi di fonte Eurostat; per quanto riguarda le utenze non domestiche, in riferimento ai consumi di energia elettrica, sono state considerate le utenze non domestiche al netto dei settori permeati dalla PA (Amministrazione pubblica/difesa, sanità/assistenza sociale, istruzione, illuminazione pubblica); per i consumi di gas sono state considerate le utenze industriali (generazione elettrica esclusa), del commercio e dei servizi (escluso servizio pubblico), tutte al netto degli autoconsumi. I costi per l’anno 2025 sono il frutto di una stima che tiene conto dell’andamento dei prezzi medi annui di mercato dell’energia elettrica e del gas - borsa energetica di fonte Gestore Mercati Energetici (GME) - pari a 116 euro per MWh per l’elettricità e di 39 euro per MWh per il gas; le previsioni dei costi per l’anno 2026 sono state calcolate considerando un prezzo medio (per l’intero anno) dell’energia elettrica di 150 euro per MWh e di 50 per il gas, rispettando la proporzione di 3 a 1 tra i due prezzi così come verificatosi mediamente nel triennio 2023-2025; </w:t>
      </w:r>
      <w:r w:rsidRPr="00DC1697">
        <w:rPr>
          <w:rFonts w:ascii="Verdana" w:hAnsi="Verdana"/>
          <w:sz w:val="20"/>
          <w:szCs w:val="20"/>
          <w:u w:val="single"/>
        </w:rPr>
        <w:t>si tratta di ipotesi di prezzi (medi annui di gas ed energia elettrica) di poco inferiori rispetto ai valori registrati nella settimana dal 13/07/2026 al 19/07/2026 (subito dopo la ripresa delle azioni militari) e che si verificherebbero con i prezzi attuali costanti per prossimi 5 mesi dell’anno</w:t>
      </w:r>
      <w:r w:rsidRPr="00DC1697">
        <w:rPr>
          <w:rFonts w:ascii="Verdana" w:hAnsi="Verdana"/>
          <w:sz w:val="20"/>
          <w:szCs w:val="20"/>
        </w:rPr>
        <w:t>. Si fa presente che l’aumento dei costi energetici per le imprese risulterà meno che proporzionale rispetto alla variazione dei prezzi della borsa energetica in quanto l’aumento del prezzo della materia prima non impatta su tutto il costo complessivo della bolletta (che comprende anche costi di commercializzazione, trasmissione, oneri, tasse, margini ecc.). E dunque rispetto ad un’ipotesi di aumento del prezzo della materia prima del 29% (stimato per il 2026 rispetto al 2025), le rispettive crescite dei costi per imprese e famiglie risulteranno inferiori. I dati sulla spesa delle famiglie per energia elettrica sono stati calcolati con le stesse metodologie ma per il 2024 (anno base per la stima del biennio 2025-2026) si è tenuto conto della spesa mensile dell’Istat che su base annua e moltiplicata per il numero di famiglie Italia restituisce importi simili al calcolo tramite i dati dei prezzi Eurostat.</w:t>
      </w:r>
    </w:p>
    <w:p w:rsidR="00DC1697" w:rsidRDefault="00DC1697">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03B62"/>
    <w:multiLevelType w:val="hybridMultilevel"/>
    <w:tmpl w:val="2E061C52"/>
    <w:lvl w:ilvl="0" w:tplc="06C8A54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6659C9"/>
    <w:multiLevelType w:val="hybridMultilevel"/>
    <w:tmpl w:val="E806D75E"/>
    <w:lvl w:ilvl="0" w:tplc="5C70B9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4B4A57"/>
    <w:multiLevelType w:val="hybridMultilevel"/>
    <w:tmpl w:val="F15A9BAA"/>
    <w:lvl w:ilvl="0" w:tplc="AC805B2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26559B"/>
    <w:multiLevelType w:val="hybridMultilevel"/>
    <w:tmpl w:val="85883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C94267"/>
    <w:multiLevelType w:val="hybridMultilevel"/>
    <w:tmpl w:val="69A2E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B6B47"/>
    <w:multiLevelType w:val="hybridMultilevel"/>
    <w:tmpl w:val="CD6E9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FD47BB"/>
    <w:multiLevelType w:val="hybridMultilevel"/>
    <w:tmpl w:val="D34A34A4"/>
    <w:lvl w:ilvl="0" w:tplc="4E5C8AB6">
      <w:start w:val="44"/>
      <w:numFmt w:val="bullet"/>
      <w:lvlText w:val="-"/>
      <w:lvlJc w:val="left"/>
      <w:pPr>
        <w:ind w:left="720" w:hanging="360"/>
      </w:pPr>
      <w:rPr>
        <w:rFonts w:ascii="Verdana" w:eastAsia="Calibri" w:hAnsi="Verdana" w:cs="Tahoma"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281081"/>
    <w:multiLevelType w:val="hybridMultilevel"/>
    <w:tmpl w:val="9E2EC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710BC2"/>
    <w:multiLevelType w:val="hybridMultilevel"/>
    <w:tmpl w:val="73448A72"/>
    <w:lvl w:ilvl="0" w:tplc="12F6CEF6">
      <w:start w:val="221"/>
      <w:numFmt w:val="bullet"/>
      <w:lvlText w:val="-"/>
      <w:lvlJc w:val="left"/>
      <w:pPr>
        <w:ind w:left="720" w:hanging="360"/>
      </w:pPr>
      <w:rPr>
        <w:rFonts w:ascii="Verdana" w:eastAsia="Calibri"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50CE3153"/>
    <w:multiLevelType w:val="hybridMultilevel"/>
    <w:tmpl w:val="865AB61E"/>
    <w:lvl w:ilvl="0" w:tplc="1F6830A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7CE448D"/>
    <w:multiLevelType w:val="hybridMultilevel"/>
    <w:tmpl w:val="75E8BBF4"/>
    <w:lvl w:ilvl="0" w:tplc="4838F180">
      <w:start w:val="4"/>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F27E1F"/>
    <w:multiLevelType w:val="hybridMultilevel"/>
    <w:tmpl w:val="D4F8DD08"/>
    <w:lvl w:ilvl="0" w:tplc="49105002">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2" w15:restartNumberingAfterBreak="0">
    <w:nsid w:val="64020003"/>
    <w:multiLevelType w:val="multilevel"/>
    <w:tmpl w:val="60D0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321D4D"/>
    <w:multiLevelType w:val="hybridMultilevel"/>
    <w:tmpl w:val="8C4CB03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6B737378"/>
    <w:multiLevelType w:val="multilevel"/>
    <w:tmpl w:val="1346D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34763"/>
    <w:multiLevelType w:val="hybridMultilevel"/>
    <w:tmpl w:val="3E6893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9CC6CB5"/>
    <w:multiLevelType w:val="multilevel"/>
    <w:tmpl w:val="4AA8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6"/>
  </w:num>
  <w:num w:numId="4">
    <w:abstractNumId w:val="1"/>
  </w:num>
  <w:num w:numId="5">
    <w:abstractNumId w:val="11"/>
  </w:num>
  <w:num w:numId="6">
    <w:abstractNumId w:val="9"/>
  </w:num>
  <w:num w:numId="7">
    <w:abstractNumId w:val="2"/>
  </w:num>
  <w:num w:numId="8">
    <w:abstractNumId w:val="0"/>
  </w:num>
  <w:num w:numId="9">
    <w:abstractNumId w:val="3"/>
  </w:num>
  <w:num w:numId="10">
    <w:abstractNumId w:val="7"/>
  </w:num>
  <w:num w:numId="11">
    <w:abstractNumId w:val="15"/>
  </w:num>
  <w:num w:numId="12">
    <w:abstractNumId w:val="5"/>
  </w:num>
  <w:num w:numId="13">
    <w:abstractNumId w:val="4"/>
  </w:num>
  <w:num w:numId="14">
    <w:abstractNumId w:val="13"/>
  </w:num>
  <w:num w:numId="15">
    <w:abstractNumId w:val="16"/>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52"/>
    <w:rsid w:val="00005D1F"/>
    <w:rsid w:val="000067C7"/>
    <w:rsid w:val="000111A3"/>
    <w:rsid w:val="00015B30"/>
    <w:rsid w:val="00017268"/>
    <w:rsid w:val="00020172"/>
    <w:rsid w:val="0002121D"/>
    <w:rsid w:val="00021325"/>
    <w:rsid w:val="00023FB1"/>
    <w:rsid w:val="00024C51"/>
    <w:rsid w:val="000324F8"/>
    <w:rsid w:val="00035FCB"/>
    <w:rsid w:val="00037ECF"/>
    <w:rsid w:val="0004079A"/>
    <w:rsid w:val="00040DB5"/>
    <w:rsid w:val="00043CD6"/>
    <w:rsid w:val="00043E30"/>
    <w:rsid w:val="00045530"/>
    <w:rsid w:val="0004716B"/>
    <w:rsid w:val="00052E74"/>
    <w:rsid w:val="00055907"/>
    <w:rsid w:val="00057308"/>
    <w:rsid w:val="0005767D"/>
    <w:rsid w:val="00061B18"/>
    <w:rsid w:val="000625B1"/>
    <w:rsid w:val="000645B1"/>
    <w:rsid w:val="000655EB"/>
    <w:rsid w:val="00072973"/>
    <w:rsid w:val="00074E03"/>
    <w:rsid w:val="00075D44"/>
    <w:rsid w:val="00076E91"/>
    <w:rsid w:val="00084830"/>
    <w:rsid w:val="000857DF"/>
    <w:rsid w:val="00087C8B"/>
    <w:rsid w:val="00090336"/>
    <w:rsid w:val="0009065B"/>
    <w:rsid w:val="00091ACD"/>
    <w:rsid w:val="00091B30"/>
    <w:rsid w:val="000950F6"/>
    <w:rsid w:val="000A0D21"/>
    <w:rsid w:val="000A115E"/>
    <w:rsid w:val="000A22AA"/>
    <w:rsid w:val="000A33B7"/>
    <w:rsid w:val="000A71BA"/>
    <w:rsid w:val="000B06A8"/>
    <w:rsid w:val="000B1B11"/>
    <w:rsid w:val="000B349D"/>
    <w:rsid w:val="000B6B98"/>
    <w:rsid w:val="000B7CBD"/>
    <w:rsid w:val="000C01CC"/>
    <w:rsid w:val="000C0EC6"/>
    <w:rsid w:val="000C1B95"/>
    <w:rsid w:val="000D03E4"/>
    <w:rsid w:val="000D16A6"/>
    <w:rsid w:val="000D1C16"/>
    <w:rsid w:val="000D3EB0"/>
    <w:rsid w:val="000D64F9"/>
    <w:rsid w:val="000D7714"/>
    <w:rsid w:val="000E0FFD"/>
    <w:rsid w:val="000E1205"/>
    <w:rsid w:val="000E22B1"/>
    <w:rsid w:val="000E4FA0"/>
    <w:rsid w:val="000E4FC7"/>
    <w:rsid w:val="000E7433"/>
    <w:rsid w:val="000F2243"/>
    <w:rsid w:val="000F5257"/>
    <w:rsid w:val="000F65EB"/>
    <w:rsid w:val="000F69D6"/>
    <w:rsid w:val="000F748F"/>
    <w:rsid w:val="000F7BFA"/>
    <w:rsid w:val="001026B3"/>
    <w:rsid w:val="001029C4"/>
    <w:rsid w:val="001061DD"/>
    <w:rsid w:val="00114324"/>
    <w:rsid w:val="00115E98"/>
    <w:rsid w:val="00121E64"/>
    <w:rsid w:val="00125A5D"/>
    <w:rsid w:val="0013213D"/>
    <w:rsid w:val="00136210"/>
    <w:rsid w:val="001413A6"/>
    <w:rsid w:val="00141A7A"/>
    <w:rsid w:val="001432F9"/>
    <w:rsid w:val="0014353B"/>
    <w:rsid w:val="001440B0"/>
    <w:rsid w:val="00146070"/>
    <w:rsid w:val="00153C75"/>
    <w:rsid w:val="00154081"/>
    <w:rsid w:val="00154F52"/>
    <w:rsid w:val="001553EF"/>
    <w:rsid w:val="0015645B"/>
    <w:rsid w:val="001572B4"/>
    <w:rsid w:val="00160B62"/>
    <w:rsid w:val="00161C8C"/>
    <w:rsid w:val="0016458B"/>
    <w:rsid w:val="00164B44"/>
    <w:rsid w:val="00165CDF"/>
    <w:rsid w:val="001670CA"/>
    <w:rsid w:val="0017439B"/>
    <w:rsid w:val="00175F32"/>
    <w:rsid w:val="001767B5"/>
    <w:rsid w:val="00176CF1"/>
    <w:rsid w:val="00180E8D"/>
    <w:rsid w:val="00184265"/>
    <w:rsid w:val="00185DD5"/>
    <w:rsid w:val="001933D3"/>
    <w:rsid w:val="0019672C"/>
    <w:rsid w:val="00197434"/>
    <w:rsid w:val="001974E0"/>
    <w:rsid w:val="00197F3F"/>
    <w:rsid w:val="001A0FD6"/>
    <w:rsid w:val="001A135F"/>
    <w:rsid w:val="001A23D3"/>
    <w:rsid w:val="001A4356"/>
    <w:rsid w:val="001A72D9"/>
    <w:rsid w:val="001B1945"/>
    <w:rsid w:val="001B2017"/>
    <w:rsid w:val="001B3BFB"/>
    <w:rsid w:val="001B3F5D"/>
    <w:rsid w:val="001B6606"/>
    <w:rsid w:val="001B7104"/>
    <w:rsid w:val="001B733A"/>
    <w:rsid w:val="001B7533"/>
    <w:rsid w:val="001C2082"/>
    <w:rsid w:val="001C4007"/>
    <w:rsid w:val="001C4A5B"/>
    <w:rsid w:val="001D2943"/>
    <w:rsid w:val="001D41E6"/>
    <w:rsid w:val="001D631B"/>
    <w:rsid w:val="001D6A44"/>
    <w:rsid w:val="001E0144"/>
    <w:rsid w:val="001E2C46"/>
    <w:rsid w:val="001E4179"/>
    <w:rsid w:val="001E6E79"/>
    <w:rsid w:val="001E7AAB"/>
    <w:rsid w:val="001F00F6"/>
    <w:rsid w:val="001F455F"/>
    <w:rsid w:val="001F7358"/>
    <w:rsid w:val="001F7F18"/>
    <w:rsid w:val="00203AEF"/>
    <w:rsid w:val="00204185"/>
    <w:rsid w:val="00204A9A"/>
    <w:rsid w:val="0020535B"/>
    <w:rsid w:val="0020693F"/>
    <w:rsid w:val="00206AB7"/>
    <w:rsid w:val="00210F69"/>
    <w:rsid w:val="002118E0"/>
    <w:rsid w:val="002160D1"/>
    <w:rsid w:val="00216225"/>
    <w:rsid w:val="002170D4"/>
    <w:rsid w:val="00217377"/>
    <w:rsid w:val="00220BBF"/>
    <w:rsid w:val="00221BC5"/>
    <w:rsid w:val="00222ADF"/>
    <w:rsid w:val="00222D7B"/>
    <w:rsid w:val="00227349"/>
    <w:rsid w:val="0023027C"/>
    <w:rsid w:val="00232652"/>
    <w:rsid w:val="00233324"/>
    <w:rsid w:val="00233902"/>
    <w:rsid w:val="00235D78"/>
    <w:rsid w:val="00241E0E"/>
    <w:rsid w:val="00242662"/>
    <w:rsid w:val="00244242"/>
    <w:rsid w:val="00244B82"/>
    <w:rsid w:val="00246486"/>
    <w:rsid w:val="002518A7"/>
    <w:rsid w:val="00257376"/>
    <w:rsid w:val="002612C5"/>
    <w:rsid w:val="0026259F"/>
    <w:rsid w:val="0026287C"/>
    <w:rsid w:val="00263FBC"/>
    <w:rsid w:val="00265F6A"/>
    <w:rsid w:val="002665FB"/>
    <w:rsid w:val="00266BB3"/>
    <w:rsid w:val="0027019B"/>
    <w:rsid w:val="0027127F"/>
    <w:rsid w:val="002728EF"/>
    <w:rsid w:val="00277AE2"/>
    <w:rsid w:val="00277DFA"/>
    <w:rsid w:val="00281D37"/>
    <w:rsid w:val="0028275D"/>
    <w:rsid w:val="00282BE5"/>
    <w:rsid w:val="00284742"/>
    <w:rsid w:val="00285E0B"/>
    <w:rsid w:val="00287244"/>
    <w:rsid w:val="00287B55"/>
    <w:rsid w:val="00290EA1"/>
    <w:rsid w:val="00290FF7"/>
    <w:rsid w:val="00291C71"/>
    <w:rsid w:val="00291C96"/>
    <w:rsid w:val="00292387"/>
    <w:rsid w:val="002A266B"/>
    <w:rsid w:val="002A5573"/>
    <w:rsid w:val="002A610E"/>
    <w:rsid w:val="002A6E42"/>
    <w:rsid w:val="002A77E9"/>
    <w:rsid w:val="002B0189"/>
    <w:rsid w:val="002B04F0"/>
    <w:rsid w:val="002B3A8A"/>
    <w:rsid w:val="002B4313"/>
    <w:rsid w:val="002B54F3"/>
    <w:rsid w:val="002B6503"/>
    <w:rsid w:val="002B7627"/>
    <w:rsid w:val="002C3CF0"/>
    <w:rsid w:val="002C7BEF"/>
    <w:rsid w:val="002D314C"/>
    <w:rsid w:val="002D6391"/>
    <w:rsid w:val="002D6D8C"/>
    <w:rsid w:val="002E378E"/>
    <w:rsid w:val="002E4B88"/>
    <w:rsid w:val="002E5764"/>
    <w:rsid w:val="002F1155"/>
    <w:rsid w:val="002F25C4"/>
    <w:rsid w:val="00301434"/>
    <w:rsid w:val="003018C8"/>
    <w:rsid w:val="00301ABB"/>
    <w:rsid w:val="00302ACE"/>
    <w:rsid w:val="003048FC"/>
    <w:rsid w:val="0031349A"/>
    <w:rsid w:val="00322205"/>
    <w:rsid w:val="00331255"/>
    <w:rsid w:val="00333245"/>
    <w:rsid w:val="00335FBD"/>
    <w:rsid w:val="00337740"/>
    <w:rsid w:val="00337C62"/>
    <w:rsid w:val="00341900"/>
    <w:rsid w:val="00344975"/>
    <w:rsid w:val="00346D53"/>
    <w:rsid w:val="00347847"/>
    <w:rsid w:val="0034797B"/>
    <w:rsid w:val="00350127"/>
    <w:rsid w:val="0035487B"/>
    <w:rsid w:val="00355004"/>
    <w:rsid w:val="0036337F"/>
    <w:rsid w:val="00366ABC"/>
    <w:rsid w:val="00366F66"/>
    <w:rsid w:val="00371860"/>
    <w:rsid w:val="00372F97"/>
    <w:rsid w:val="00376733"/>
    <w:rsid w:val="003767A8"/>
    <w:rsid w:val="00377324"/>
    <w:rsid w:val="0037758B"/>
    <w:rsid w:val="0037770B"/>
    <w:rsid w:val="00381F85"/>
    <w:rsid w:val="0038244A"/>
    <w:rsid w:val="003829F5"/>
    <w:rsid w:val="003830A3"/>
    <w:rsid w:val="00384A1F"/>
    <w:rsid w:val="0038683C"/>
    <w:rsid w:val="00386CFA"/>
    <w:rsid w:val="00391581"/>
    <w:rsid w:val="00395C09"/>
    <w:rsid w:val="003964F6"/>
    <w:rsid w:val="00396F30"/>
    <w:rsid w:val="003A0D13"/>
    <w:rsid w:val="003A28E0"/>
    <w:rsid w:val="003A36C9"/>
    <w:rsid w:val="003A41CC"/>
    <w:rsid w:val="003A4F5A"/>
    <w:rsid w:val="003A51B5"/>
    <w:rsid w:val="003A716C"/>
    <w:rsid w:val="003A7205"/>
    <w:rsid w:val="003A79D5"/>
    <w:rsid w:val="003B0665"/>
    <w:rsid w:val="003B4896"/>
    <w:rsid w:val="003B4E30"/>
    <w:rsid w:val="003B7E96"/>
    <w:rsid w:val="003C1BD3"/>
    <w:rsid w:val="003C2C6E"/>
    <w:rsid w:val="003C4669"/>
    <w:rsid w:val="003C61DD"/>
    <w:rsid w:val="003D0E9F"/>
    <w:rsid w:val="003D3076"/>
    <w:rsid w:val="003D47A2"/>
    <w:rsid w:val="003D5B3A"/>
    <w:rsid w:val="003E005A"/>
    <w:rsid w:val="003E11BB"/>
    <w:rsid w:val="003E208C"/>
    <w:rsid w:val="003E53CB"/>
    <w:rsid w:val="003E6B00"/>
    <w:rsid w:val="003E6B80"/>
    <w:rsid w:val="003F03D0"/>
    <w:rsid w:val="003F0E61"/>
    <w:rsid w:val="003F2A75"/>
    <w:rsid w:val="003F339A"/>
    <w:rsid w:val="003F3F82"/>
    <w:rsid w:val="003F522D"/>
    <w:rsid w:val="003F7938"/>
    <w:rsid w:val="00402027"/>
    <w:rsid w:val="004033C2"/>
    <w:rsid w:val="00404CD4"/>
    <w:rsid w:val="00410814"/>
    <w:rsid w:val="0041298F"/>
    <w:rsid w:val="0042009D"/>
    <w:rsid w:val="004200E7"/>
    <w:rsid w:val="00421934"/>
    <w:rsid w:val="00421D14"/>
    <w:rsid w:val="0042211B"/>
    <w:rsid w:val="00423A4C"/>
    <w:rsid w:val="00425087"/>
    <w:rsid w:val="0042577D"/>
    <w:rsid w:val="00435457"/>
    <w:rsid w:val="004423B9"/>
    <w:rsid w:val="004424AA"/>
    <w:rsid w:val="0044291A"/>
    <w:rsid w:val="00454DA3"/>
    <w:rsid w:val="0045663D"/>
    <w:rsid w:val="00456BE2"/>
    <w:rsid w:val="00456DD1"/>
    <w:rsid w:val="00460DB8"/>
    <w:rsid w:val="004615EF"/>
    <w:rsid w:val="00464708"/>
    <w:rsid w:val="0046706D"/>
    <w:rsid w:val="0047080C"/>
    <w:rsid w:val="00475FA5"/>
    <w:rsid w:val="004769E0"/>
    <w:rsid w:val="0048134E"/>
    <w:rsid w:val="00484FD3"/>
    <w:rsid w:val="004861C1"/>
    <w:rsid w:val="00487EF2"/>
    <w:rsid w:val="0049114C"/>
    <w:rsid w:val="004A0BD4"/>
    <w:rsid w:val="004A135A"/>
    <w:rsid w:val="004A4C19"/>
    <w:rsid w:val="004B00EF"/>
    <w:rsid w:val="004B1C1C"/>
    <w:rsid w:val="004B1D33"/>
    <w:rsid w:val="004B3467"/>
    <w:rsid w:val="004C2174"/>
    <w:rsid w:val="004C4B86"/>
    <w:rsid w:val="004C6778"/>
    <w:rsid w:val="004D0FA3"/>
    <w:rsid w:val="004D4096"/>
    <w:rsid w:val="004D410E"/>
    <w:rsid w:val="004D50DB"/>
    <w:rsid w:val="004D555C"/>
    <w:rsid w:val="004D5BDE"/>
    <w:rsid w:val="004E1AEE"/>
    <w:rsid w:val="004E211B"/>
    <w:rsid w:val="004E4494"/>
    <w:rsid w:val="004E5482"/>
    <w:rsid w:val="004E5578"/>
    <w:rsid w:val="004E7FDB"/>
    <w:rsid w:val="004F31EB"/>
    <w:rsid w:val="004F64A8"/>
    <w:rsid w:val="004F6ABE"/>
    <w:rsid w:val="0050156E"/>
    <w:rsid w:val="00501816"/>
    <w:rsid w:val="0050195F"/>
    <w:rsid w:val="00502187"/>
    <w:rsid w:val="005028C3"/>
    <w:rsid w:val="00504360"/>
    <w:rsid w:val="00507B4F"/>
    <w:rsid w:val="00507C0E"/>
    <w:rsid w:val="00513A0A"/>
    <w:rsid w:val="005179B5"/>
    <w:rsid w:val="00521B82"/>
    <w:rsid w:val="00525940"/>
    <w:rsid w:val="00526D1A"/>
    <w:rsid w:val="005300C3"/>
    <w:rsid w:val="005308B1"/>
    <w:rsid w:val="005308B6"/>
    <w:rsid w:val="00535EDC"/>
    <w:rsid w:val="005425F1"/>
    <w:rsid w:val="00542C97"/>
    <w:rsid w:val="0054364B"/>
    <w:rsid w:val="00544EA5"/>
    <w:rsid w:val="00546511"/>
    <w:rsid w:val="00546631"/>
    <w:rsid w:val="00547102"/>
    <w:rsid w:val="005501EC"/>
    <w:rsid w:val="00552FE4"/>
    <w:rsid w:val="00555367"/>
    <w:rsid w:val="005576A1"/>
    <w:rsid w:val="00561FE8"/>
    <w:rsid w:val="005629F3"/>
    <w:rsid w:val="0056453E"/>
    <w:rsid w:val="00565A72"/>
    <w:rsid w:val="00566367"/>
    <w:rsid w:val="005716EC"/>
    <w:rsid w:val="005717AD"/>
    <w:rsid w:val="00572C02"/>
    <w:rsid w:val="005733D0"/>
    <w:rsid w:val="005767FD"/>
    <w:rsid w:val="00576D55"/>
    <w:rsid w:val="00583542"/>
    <w:rsid w:val="00584FE3"/>
    <w:rsid w:val="005852F1"/>
    <w:rsid w:val="0058546F"/>
    <w:rsid w:val="00585FB5"/>
    <w:rsid w:val="00592622"/>
    <w:rsid w:val="005934A3"/>
    <w:rsid w:val="005960B5"/>
    <w:rsid w:val="00597EAA"/>
    <w:rsid w:val="005A1492"/>
    <w:rsid w:val="005A5C45"/>
    <w:rsid w:val="005A747B"/>
    <w:rsid w:val="005B02FB"/>
    <w:rsid w:val="005B2B03"/>
    <w:rsid w:val="005B3814"/>
    <w:rsid w:val="005B3BFD"/>
    <w:rsid w:val="005B6F52"/>
    <w:rsid w:val="005C51CC"/>
    <w:rsid w:val="005D12A0"/>
    <w:rsid w:val="005D27D9"/>
    <w:rsid w:val="005D384A"/>
    <w:rsid w:val="005D3F84"/>
    <w:rsid w:val="005D523E"/>
    <w:rsid w:val="005E0B30"/>
    <w:rsid w:val="005E13E6"/>
    <w:rsid w:val="005E1A50"/>
    <w:rsid w:val="005E1AF2"/>
    <w:rsid w:val="005E3EF8"/>
    <w:rsid w:val="005E45AB"/>
    <w:rsid w:val="005F1E2B"/>
    <w:rsid w:val="005F2A03"/>
    <w:rsid w:val="005F4356"/>
    <w:rsid w:val="005F68AA"/>
    <w:rsid w:val="005F6905"/>
    <w:rsid w:val="00601BD9"/>
    <w:rsid w:val="00601FF6"/>
    <w:rsid w:val="00610BD4"/>
    <w:rsid w:val="00622C12"/>
    <w:rsid w:val="00623D91"/>
    <w:rsid w:val="00624F45"/>
    <w:rsid w:val="006326F3"/>
    <w:rsid w:val="006333EE"/>
    <w:rsid w:val="00633D26"/>
    <w:rsid w:val="00634931"/>
    <w:rsid w:val="00635D3D"/>
    <w:rsid w:val="00635EA8"/>
    <w:rsid w:val="00640144"/>
    <w:rsid w:val="00642CD3"/>
    <w:rsid w:val="006442CF"/>
    <w:rsid w:val="00645BDD"/>
    <w:rsid w:val="006478D4"/>
    <w:rsid w:val="006511AD"/>
    <w:rsid w:val="0065301E"/>
    <w:rsid w:val="00654264"/>
    <w:rsid w:val="00656344"/>
    <w:rsid w:val="006575F0"/>
    <w:rsid w:val="006610E4"/>
    <w:rsid w:val="006640F8"/>
    <w:rsid w:val="006662F2"/>
    <w:rsid w:val="006719A3"/>
    <w:rsid w:val="0067274B"/>
    <w:rsid w:val="00672BED"/>
    <w:rsid w:val="0067331B"/>
    <w:rsid w:val="00675589"/>
    <w:rsid w:val="00682044"/>
    <w:rsid w:val="00682BA2"/>
    <w:rsid w:val="00682C59"/>
    <w:rsid w:val="00683C7E"/>
    <w:rsid w:val="00684A3A"/>
    <w:rsid w:val="0068553C"/>
    <w:rsid w:val="00685559"/>
    <w:rsid w:val="00690367"/>
    <w:rsid w:val="006929DF"/>
    <w:rsid w:val="00694928"/>
    <w:rsid w:val="00697F49"/>
    <w:rsid w:val="006A02DC"/>
    <w:rsid w:val="006A1DDB"/>
    <w:rsid w:val="006A2899"/>
    <w:rsid w:val="006A407D"/>
    <w:rsid w:val="006A7D03"/>
    <w:rsid w:val="006B1047"/>
    <w:rsid w:val="006B2292"/>
    <w:rsid w:val="006B2D75"/>
    <w:rsid w:val="006B5ED0"/>
    <w:rsid w:val="006B7A05"/>
    <w:rsid w:val="006C5BED"/>
    <w:rsid w:val="006C61A7"/>
    <w:rsid w:val="006D2B0C"/>
    <w:rsid w:val="006D361B"/>
    <w:rsid w:val="006D3950"/>
    <w:rsid w:val="006D3AEE"/>
    <w:rsid w:val="006D5369"/>
    <w:rsid w:val="006E204C"/>
    <w:rsid w:val="006E6E5F"/>
    <w:rsid w:val="006F44B8"/>
    <w:rsid w:val="006F4514"/>
    <w:rsid w:val="006F588C"/>
    <w:rsid w:val="006F6247"/>
    <w:rsid w:val="00701315"/>
    <w:rsid w:val="00704052"/>
    <w:rsid w:val="00704F52"/>
    <w:rsid w:val="00704F6F"/>
    <w:rsid w:val="00705BF9"/>
    <w:rsid w:val="007061A8"/>
    <w:rsid w:val="007076EE"/>
    <w:rsid w:val="00707846"/>
    <w:rsid w:val="00707B77"/>
    <w:rsid w:val="00712F84"/>
    <w:rsid w:val="00716B37"/>
    <w:rsid w:val="007170FC"/>
    <w:rsid w:val="00717A3B"/>
    <w:rsid w:val="00717FA7"/>
    <w:rsid w:val="0072292D"/>
    <w:rsid w:val="007275E5"/>
    <w:rsid w:val="00732885"/>
    <w:rsid w:val="007342DD"/>
    <w:rsid w:val="00736078"/>
    <w:rsid w:val="00744120"/>
    <w:rsid w:val="00746850"/>
    <w:rsid w:val="007510B0"/>
    <w:rsid w:val="0075183E"/>
    <w:rsid w:val="00751F8C"/>
    <w:rsid w:val="007527C9"/>
    <w:rsid w:val="00761E06"/>
    <w:rsid w:val="00766B59"/>
    <w:rsid w:val="0077049D"/>
    <w:rsid w:val="007708D4"/>
    <w:rsid w:val="0077373D"/>
    <w:rsid w:val="00774E2F"/>
    <w:rsid w:val="00777483"/>
    <w:rsid w:val="00780198"/>
    <w:rsid w:val="00783054"/>
    <w:rsid w:val="00783670"/>
    <w:rsid w:val="00785BCC"/>
    <w:rsid w:val="007878B4"/>
    <w:rsid w:val="0079108D"/>
    <w:rsid w:val="0079199E"/>
    <w:rsid w:val="007936EC"/>
    <w:rsid w:val="00795393"/>
    <w:rsid w:val="007A3DFD"/>
    <w:rsid w:val="007B392B"/>
    <w:rsid w:val="007B39AA"/>
    <w:rsid w:val="007B4B6A"/>
    <w:rsid w:val="007B5AFC"/>
    <w:rsid w:val="007B6905"/>
    <w:rsid w:val="007B7D20"/>
    <w:rsid w:val="007B7E16"/>
    <w:rsid w:val="007C0FCA"/>
    <w:rsid w:val="007C1723"/>
    <w:rsid w:val="007C434D"/>
    <w:rsid w:val="007C4747"/>
    <w:rsid w:val="007C7205"/>
    <w:rsid w:val="007C7E77"/>
    <w:rsid w:val="007D186F"/>
    <w:rsid w:val="007D3D0F"/>
    <w:rsid w:val="007D7968"/>
    <w:rsid w:val="007D7A27"/>
    <w:rsid w:val="007D7E17"/>
    <w:rsid w:val="007E1C4D"/>
    <w:rsid w:val="007E34AA"/>
    <w:rsid w:val="007E40FD"/>
    <w:rsid w:val="007E4B5F"/>
    <w:rsid w:val="007E4B7A"/>
    <w:rsid w:val="007F3A46"/>
    <w:rsid w:val="008014EE"/>
    <w:rsid w:val="0080172C"/>
    <w:rsid w:val="0080593D"/>
    <w:rsid w:val="00807A72"/>
    <w:rsid w:val="00807C73"/>
    <w:rsid w:val="0081037E"/>
    <w:rsid w:val="00810B02"/>
    <w:rsid w:val="00810E98"/>
    <w:rsid w:val="008111AE"/>
    <w:rsid w:val="0081278F"/>
    <w:rsid w:val="00814DDE"/>
    <w:rsid w:val="008155A1"/>
    <w:rsid w:val="00815976"/>
    <w:rsid w:val="00816A6E"/>
    <w:rsid w:val="00816EBA"/>
    <w:rsid w:val="00817B64"/>
    <w:rsid w:val="00817F25"/>
    <w:rsid w:val="00820343"/>
    <w:rsid w:val="00831B0F"/>
    <w:rsid w:val="00835B2E"/>
    <w:rsid w:val="00836C9F"/>
    <w:rsid w:val="00837361"/>
    <w:rsid w:val="008417F1"/>
    <w:rsid w:val="00841A9D"/>
    <w:rsid w:val="00841BC0"/>
    <w:rsid w:val="00842648"/>
    <w:rsid w:val="00844B1A"/>
    <w:rsid w:val="00845A19"/>
    <w:rsid w:val="00846FC9"/>
    <w:rsid w:val="00854452"/>
    <w:rsid w:val="00860FF1"/>
    <w:rsid w:val="00862261"/>
    <w:rsid w:val="00867305"/>
    <w:rsid w:val="00870285"/>
    <w:rsid w:val="0087566B"/>
    <w:rsid w:val="0087642E"/>
    <w:rsid w:val="00876E5B"/>
    <w:rsid w:val="00876EF9"/>
    <w:rsid w:val="00881888"/>
    <w:rsid w:val="00883D80"/>
    <w:rsid w:val="008841C7"/>
    <w:rsid w:val="00884291"/>
    <w:rsid w:val="00886F10"/>
    <w:rsid w:val="00891241"/>
    <w:rsid w:val="00891FFF"/>
    <w:rsid w:val="00894337"/>
    <w:rsid w:val="00895D0D"/>
    <w:rsid w:val="00895EFD"/>
    <w:rsid w:val="008A00D5"/>
    <w:rsid w:val="008A4AB9"/>
    <w:rsid w:val="008A65D4"/>
    <w:rsid w:val="008B3905"/>
    <w:rsid w:val="008C085E"/>
    <w:rsid w:val="008C1B9E"/>
    <w:rsid w:val="008C23BD"/>
    <w:rsid w:val="008D0015"/>
    <w:rsid w:val="008D185A"/>
    <w:rsid w:val="008D3B8F"/>
    <w:rsid w:val="008D3D99"/>
    <w:rsid w:val="008D5A20"/>
    <w:rsid w:val="008E1105"/>
    <w:rsid w:val="008E2E51"/>
    <w:rsid w:val="008E3920"/>
    <w:rsid w:val="008E6FAB"/>
    <w:rsid w:val="00900E06"/>
    <w:rsid w:val="00902E34"/>
    <w:rsid w:val="00903094"/>
    <w:rsid w:val="00905F8B"/>
    <w:rsid w:val="00910FA6"/>
    <w:rsid w:val="00912C36"/>
    <w:rsid w:val="009145F1"/>
    <w:rsid w:val="00917286"/>
    <w:rsid w:val="00920150"/>
    <w:rsid w:val="009223CD"/>
    <w:rsid w:val="009224FB"/>
    <w:rsid w:val="009226E0"/>
    <w:rsid w:val="00923284"/>
    <w:rsid w:val="00923B74"/>
    <w:rsid w:val="009245B2"/>
    <w:rsid w:val="00926163"/>
    <w:rsid w:val="009268DD"/>
    <w:rsid w:val="00927BD7"/>
    <w:rsid w:val="00927BE0"/>
    <w:rsid w:val="009335DD"/>
    <w:rsid w:val="00933B3F"/>
    <w:rsid w:val="00933F5C"/>
    <w:rsid w:val="00935DCA"/>
    <w:rsid w:val="0093764D"/>
    <w:rsid w:val="009407FC"/>
    <w:rsid w:val="00941313"/>
    <w:rsid w:val="009415DF"/>
    <w:rsid w:val="0094236C"/>
    <w:rsid w:val="00944592"/>
    <w:rsid w:val="00945476"/>
    <w:rsid w:val="00946F03"/>
    <w:rsid w:val="00952394"/>
    <w:rsid w:val="00953E68"/>
    <w:rsid w:val="009565A3"/>
    <w:rsid w:val="009619F1"/>
    <w:rsid w:val="00962D87"/>
    <w:rsid w:val="00964EC7"/>
    <w:rsid w:val="009662C4"/>
    <w:rsid w:val="00970A48"/>
    <w:rsid w:val="009710E3"/>
    <w:rsid w:val="00972479"/>
    <w:rsid w:val="009739BA"/>
    <w:rsid w:val="0097462B"/>
    <w:rsid w:val="00974990"/>
    <w:rsid w:val="00974D89"/>
    <w:rsid w:val="00976EA3"/>
    <w:rsid w:val="009771CC"/>
    <w:rsid w:val="00977E79"/>
    <w:rsid w:val="0098141A"/>
    <w:rsid w:val="0098209D"/>
    <w:rsid w:val="0098262A"/>
    <w:rsid w:val="00982C37"/>
    <w:rsid w:val="00984809"/>
    <w:rsid w:val="00985ED8"/>
    <w:rsid w:val="0098627A"/>
    <w:rsid w:val="00986FEE"/>
    <w:rsid w:val="0098730B"/>
    <w:rsid w:val="00990F45"/>
    <w:rsid w:val="009A0B5C"/>
    <w:rsid w:val="009A0D10"/>
    <w:rsid w:val="009A11D1"/>
    <w:rsid w:val="009A17EB"/>
    <w:rsid w:val="009A1842"/>
    <w:rsid w:val="009A3275"/>
    <w:rsid w:val="009A4028"/>
    <w:rsid w:val="009B61F5"/>
    <w:rsid w:val="009C3724"/>
    <w:rsid w:val="009D00F3"/>
    <w:rsid w:val="009D16F9"/>
    <w:rsid w:val="009D3772"/>
    <w:rsid w:val="009D784D"/>
    <w:rsid w:val="009E05C8"/>
    <w:rsid w:val="009E0645"/>
    <w:rsid w:val="009E2043"/>
    <w:rsid w:val="009E2CF8"/>
    <w:rsid w:val="009E3818"/>
    <w:rsid w:val="009E50CA"/>
    <w:rsid w:val="009E60C5"/>
    <w:rsid w:val="009F0E49"/>
    <w:rsid w:val="009F3DE8"/>
    <w:rsid w:val="009F4FF5"/>
    <w:rsid w:val="009F7E7A"/>
    <w:rsid w:val="00A0321D"/>
    <w:rsid w:val="00A035BD"/>
    <w:rsid w:val="00A037A4"/>
    <w:rsid w:val="00A06334"/>
    <w:rsid w:val="00A06CAB"/>
    <w:rsid w:val="00A11CB0"/>
    <w:rsid w:val="00A12320"/>
    <w:rsid w:val="00A12DE7"/>
    <w:rsid w:val="00A13128"/>
    <w:rsid w:val="00A145BD"/>
    <w:rsid w:val="00A20441"/>
    <w:rsid w:val="00A23CCF"/>
    <w:rsid w:val="00A23F48"/>
    <w:rsid w:val="00A2477D"/>
    <w:rsid w:val="00A25E51"/>
    <w:rsid w:val="00A30F53"/>
    <w:rsid w:val="00A329A9"/>
    <w:rsid w:val="00A335E7"/>
    <w:rsid w:val="00A34EB0"/>
    <w:rsid w:val="00A35CCC"/>
    <w:rsid w:val="00A37E73"/>
    <w:rsid w:val="00A40F34"/>
    <w:rsid w:val="00A41A9C"/>
    <w:rsid w:val="00A428AC"/>
    <w:rsid w:val="00A4669B"/>
    <w:rsid w:val="00A5489D"/>
    <w:rsid w:val="00A54EAF"/>
    <w:rsid w:val="00A55B31"/>
    <w:rsid w:val="00A55F4D"/>
    <w:rsid w:val="00A56960"/>
    <w:rsid w:val="00A60558"/>
    <w:rsid w:val="00A6233B"/>
    <w:rsid w:val="00A63D61"/>
    <w:rsid w:val="00A641D1"/>
    <w:rsid w:val="00A64CCB"/>
    <w:rsid w:val="00A66ADD"/>
    <w:rsid w:val="00A66EAB"/>
    <w:rsid w:val="00A72F4C"/>
    <w:rsid w:val="00A7654D"/>
    <w:rsid w:val="00A769F1"/>
    <w:rsid w:val="00A76B4B"/>
    <w:rsid w:val="00A805BB"/>
    <w:rsid w:val="00A91538"/>
    <w:rsid w:val="00A922E1"/>
    <w:rsid w:val="00A940C1"/>
    <w:rsid w:val="00A95582"/>
    <w:rsid w:val="00A958C3"/>
    <w:rsid w:val="00A97542"/>
    <w:rsid w:val="00A975D8"/>
    <w:rsid w:val="00AA060A"/>
    <w:rsid w:val="00AA2D10"/>
    <w:rsid w:val="00AA2EDA"/>
    <w:rsid w:val="00AA5C62"/>
    <w:rsid w:val="00AA6405"/>
    <w:rsid w:val="00AB03B3"/>
    <w:rsid w:val="00AB10C6"/>
    <w:rsid w:val="00AB19E3"/>
    <w:rsid w:val="00AB2532"/>
    <w:rsid w:val="00AB3D11"/>
    <w:rsid w:val="00AB54E9"/>
    <w:rsid w:val="00AB74BC"/>
    <w:rsid w:val="00AB7D18"/>
    <w:rsid w:val="00AC0A45"/>
    <w:rsid w:val="00AC3129"/>
    <w:rsid w:val="00AC4275"/>
    <w:rsid w:val="00AC51C7"/>
    <w:rsid w:val="00AC7648"/>
    <w:rsid w:val="00AC7A15"/>
    <w:rsid w:val="00AC7B23"/>
    <w:rsid w:val="00AD01DB"/>
    <w:rsid w:val="00AD0850"/>
    <w:rsid w:val="00AD0E98"/>
    <w:rsid w:val="00AD3504"/>
    <w:rsid w:val="00AD5DE1"/>
    <w:rsid w:val="00AD5EBC"/>
    <w:rsid w:val="00AE0C8B"/>
    <w:rsid w:val="00AE2F26"/>
    <w:rsid w:val="00AE3550"/>
    <w:rsid w:val="00AE64D4"/>
    <w:rsid w:val="00AF03B8"/>
    <w:rsid w:val="00AF3253"/>
    <w:rsid w:val="00AF367F"/>
    <w:rsid w:val="00AF6BA1"/>
    <w:rsid w:val="00AF7A0A"/>
    <w:rsid w:val="00B00EAF"/>
    <w:rsid w:val="00B013D2"/>
    <w:rsid w:val="00B0194E"/>
    <w:rsid w:val="00B02BB1"/>
    <w:rsid w:val="00B02EDE"/>
    <w:rsid w:val="00B05D3E"/>
    <w:rsid w:val="00B0659B"/>
    <w:rsid w:val="00B1534D"/>
    <w:rsid w:val="00B16069"/>
    <w:rsid w:val="00B201E8"/>
    <w:rsid w:val="00B23EC6"/>
    <w:rsid w:val="00B2673C"/>
    <w:rsid w:val="00B26D7A"/>
    <w:rsid w:val="00B34234"/>
    <w:rsid w:val="00B35271"/>
    <w:rsid w:val="00B373C0"/>
    <w:rsid w:val="00B4076C"/>
    <w:rsid w:val="00B407F2"/>
    <w:rsid w:val="00B40C2F"/>
    <w:rsid w:val="00B40E48"/>
    <w:rsid w:val="00B50CC3"/>
    <w:rsid w:val="00B50F5F"/>
    <w:rsid w:val="00B5327E"/>
    <w:rsid w:val="00B53B21"/>
    <w:rsid w:val="00B53B7C"/>
    <w:rsid w:val="00B54DA3"/>
    <w:rsid w:val="00B54FA3"/>
    <w:rsid w:val="00B6006E"/>
    <w:rsid w:val="00B61923"/>
    <w:rsid w:val="00B630DC"/>
    <w:rsid w:val="00B676AE"/>
    <w:rsid w:val="00B70EF4"/>
    <w:rsid w:val="00B72ADD"/>
    <w:rsid w:val="00B7580F"/>
    <w:rsid w:val="00B75CBE"/>
    <w:rsid w:val="00B80C2F"/>
    <w:rsid w:val="00B87FE4"/>
    <w:rsid w:val="00B91D16"/>
    <w:rsid w:val="00B93831"/>
    <w:rsid w:val="00B939FE"/>
    <w:rsid w:val="00B95743"/>
    <w:rsid w:val="00B95A5E"/>
    <w:rsid w:val="00B96F5C"/>
    <w:rsid w:val="00BA17DA"/>
    <w:rsid w:val="00BA18BB"/>
    <w:rsid w:val="00BA430F"/>
    <w:rsid w:val="00BA64E3"/>
    <w:rsid w:val="00BB11FB"/>
    <w:rsid w:val="00BB716D"/>
    <w:rsid w:val="00BB7DF9"/>
    <w:rsid w:val="00BC1654"/>
    <w:rsid w:val="00BC29BB"/>
    <w:rsid w:val="00BC30D2"/>
    <w:rsid w:val="00BC74CE"/>
    <w:rsid w:val="00BC7ED6"/>
    <w:rsid w:val="00BD1ACF"/>
    <w:rsid w:val="00BD27A7"/>
    <w:rsid w:val="00BD561C"/>
    <w:rsid w:val="00BE13B9"/>
    <w:rsid w:val="00BE24E4"/>
    <w:rsid w:val="00BE26EA"/>
    <w:rsid w:val="00BF2086"/>
    <w:rsid w:val="00BF61B6"/>
    <w:rsid w:val="00BF7E37"/>
    <w:rsid w:val="00C001CD"/>
    <w:rsid w:val="00C026A6"/>
    <w:rsid w:val="00C04960"/>
    <w:rsid w:val="00C07EF8"/>
    <w:rsid w:val="00C107A0"/>
    <w:rsid w:val="00C10B8F"/>
    <w:rsid w:val="00C136CA"/>
    <w:rsid w:val="00C1460D"/>
    <w:rsid w:val="00C1691A"/>
    <w:rsid w:val="00C2494C"/>
    <w:rsid w:val="00C268EA"/>
    <w:rsid w:val="00C27ABD"/>
    <w:rsid w:val="00C3124A"/>
    <w:rsid w:val="00C33FB0"/>
    <w:rsid w:val="00C36EC3"/>
    <w:rsid w:val="00C37784"/>
    <w:rsid w:val="00C40922"/>
    <w:rsid w:val="00C41529"/>
    <w:rsid w:val="00C4154B"/>
    <w:rsid w:val="00C427C6"/>
    <w:rsid w:val="00C428BA"/>
    <w:rsid w:val="00C42A4C"/>
    <w:rsid w:val="00C4355D"/>
    <w:rsid w:val="00C43DEB"/>
    <w:rsid w:val="00C501C0"/>
    <w:rsid w:val="00C54810"/>
    <w:rsid w:val="00C55627"/>
    <w:rsid w:val="00C61FD7"/>
    <w:rsid w:val="00C62667"/>
    <w:rsid w:val="00C6442C"/>
    <w:rsid w:val="00C7082B"/>
    <w:rsid w:val="00C70E28"/>
    <w:rsid w:val="00C7165C"/>
    <w:rsid w:val="00C71834"/>
    <w:rsid w:val="00C72B47"/>
    <w:rsid w:val="00C72EA4"/>
    <w:rsid w:val="00C73702"/>
    <w:rsid w:val="00C73CF0"/>
    <w:rsid w:val="00C74320"/>
    <w:rsid w:val="00C7536C"/>
    <w:rsid w:val="00C763A0"/>
    <w:rsid w:val="00C77134"/>
    <w:rsid w:val="00C7749D"/>
    <w:rsid w:val="00C812B4"/>
    <w:rsid w:val="00C829E5"/>
    <w:rsid w:val="00C85C39"/>
    <w:rsid w:val="00C870FD"/>
    <w:rsid w:val="00C91550"/>
    <w:rsid w:val="00C93724"/>
    <w:rsid w:val="00C9553A"/>
    <w:rsid w:val="00C96CAD"/>
    <w:rsid w:val="00C97114"/>
    <w:rsid w:val="00C9732B"/>
    <w:rsid w:val="00CA401D"/>
    <w:rsid w:val="00CA4060"/>
    <w:rsid w:val="00CA4F55"/>
    <w:rsid w:val="00CA59DE"/>
    <w:rsid w:val="00CA7034"/>
    <w:rsid w:val="00CB3761"/>
    <w:rsid w:val="00CB7D88"/>
    <w:rsid w:val="00CB7DDA"/>
    <w:rsid w:val="00CC03B3"/>
    <w:rsid w:val="00CC0493"/>
    <w:rsid w:val="00CC375B"/>
    <w:rsid w:val="00CC37D4"/>
    <w:rsid w:val="00CC6512"/>
    <w:rsid w:val="00CC74CC"/>
    <w:rsid w:val="00CD2BF3"/>
    <w:rsid w:val="00CD5A59"/>
    <w:rsid w:val="00CD7CDF"/>
    <w:rsid w:val="00CE15DD"/>
    <w:rsid w:val="00CE380B"/>
    <w:rsid w:val="00CE3C39"/>
    <w:rsid w:val="00CE3FCD"/>
    <w:rsid w:val="00CE71D7"/>
    <w:rsid w:val="00CF08DE"/>
    <w:rsid w:val="00CF1C7F"/>
    <w:rsid w:val="00CF43AA"/>
    <w:rsid w:val="00D001F1"/>
    <w:rsid w:val="00D016A6"/>
    <w:rsid w:val="00D01D75"/>
    <w:rsid w:val="00D039C0"/>
    <w:rsid w:val="00D050A9"/>
    <w:rsid w:val="00D05CDB"/>
    <w:rsid w:val="00D106F9"/>
    <w:rsid w:val="00D1072F"/>
    <w:rsid w:val="00D126DA"/>
    <w:rsid w:val="00D1281C"/>
    <w:rsid w:val="00D12824"/>
    <w:rsid w:val="00D131F8"/>
    <w:rsid w:val="00D158F2"/>
    <w:rsid w:val="00D170C8"/>
    <w:rsid w:val="00D179C2"/>
    <w:rsid w:val="00D17DE3"/>
    <w:rsid w:val="00D254D3"/>
    <w:rsid w:val="00D272AF"/>
    <w:rsid w:val="00D30F43"/>
    <w:rsid w:val="00D320EE"/>
    <w:rsid w:val="00D402B1"/>
    <w:rsid w:val="00D40FF0"/>
    <w:rsid w:val="00D43B2A"/>
    <w:rsid w:val="00D45709"/>
    <w:rsid w:val="00D4694A"/>
    <w:rsid w:val="00D50BC8"/>
    <w:rsid w:val="00D529FC"/>
    <w:rsid w:val="00D53A60"/>
    <w:rsid w:val="00D617A9"/>
    <w:rsid w:val="00D624D1"/>
    <w:rsid w:val="00D642E6"/>
    <w:rsid w:val="00D66D7C"/>
    <w:rsid w:val="00D724FB"/>
    <w:rsid w:val="00D7414E"/>
    <w:rsid w:val="00D758F9"/>
    <w:rsid w:val="00D765A2"/>
    <w:rsid w:val="00D77BFE"/>
    <w:rsid w:val="00D811DB"/>
    <w:rsid w:val="00D92EA2"/>
    <w:rsid w:val="00D93B36"/>
    <w:rsid w:val="00D949EE"/>
    <w:rsid w:val="00D94AAA"/>
    <w:rsid w:val="00D95369"/>
    <w:rsid w:val="00D96486"/>
    <w:rsid w:val="00D96DB7"/>
    <w:rsid w:val="00DA1327"/>
    <w:rsid w:val="00DA147A"/>
    <w:rsid w:val="00DA159E"/>
    <w:rsid w:val="00DB1C92"/>
    <w:rsid w:val="00DB31F1"/>
    <w:rsid w:val="00DB5608"/>
    <w:rsid w:val="00DB5BEE"/>
    <w:rsid w:val="00DB5EB3"/>
    <w:rsid w:val="00DC1697"/>
    <w:rsid w:val="00DC1A06"/>
    <w:rsid w:val="00DC2AB6"/>
    <w:rsid w:val="00DC3EC4"/>
    <w:rsid w:val="00DC5194"/>
    <w:rsid w:val="00DC6BB9"/>
    <w:rsid w:val="00DC71E8"/>
    <w:rsid w:val="00DC7AFB"/>
    <w:rsid w:val="00DD0149"/>
    <w:rsid w:val="00DD35FC"/>
    <w:rsid w:val="00DD4673"/>
    <w:rsid w:val="00DD48AD"/>
    <w:rsid w:val="00DD5443"/>
    <w:rsid w:val="00DD5B9A"/>
    <w:rsid w:val="00DD5E90"/>
    <w:rsid w:val="00DD5E98"/>
    <w:rsid w:val="00DD65C5"/>
    <w:rsid w:val="00DD6A2F"/>
    <w:rsid w:val="00DE1780"/>
    <w:rsid w:val="00DE1CBE"/>
    <w:rsid w:val="00DE2293"/>
    <w:rsid w:val="00DE64F5"/>
    <w:rsid w:val="00DF1010"/>
    <w:rsid w:val="00DF2DFA"/>
    <w:rsid w:val="00E01420"/>
    <w:rsid w:val="00E12FA7"/>
    <w:rsid w:val="00E131F6"/>
    <w:rsid w:val="00E1385C"/>
    <w:rsid w:val="00E15EDF"/>
    <w:rsid w:val="00E164ED"/>
    <w:rsid w:val="00E1786C"/>
    <w:rsid w:val="00E20845"/>
    <w:rsid w:val="00E21199"/>
    <w:rsid w:val="00E216CD"/>
    <w:rsid w:val="00E22D76"/>
    <w:rsid w:val="00E23565"/>
    <w:rsid w:val="00E26356"/>
    <w:rsid w:val="00E341F0"/>
    <w:rsid w:val="00E43840"/>
    <w:rsid w:val="00E43E32"/>
    <w:rsid w:val="00E454E0"/>
    <w:rsid w:val="00E45A57"/>
    <w:rsid w:val="00E4658E"/>
    <w:rsid w:val="00E46C4C"/>
    <w:rsid w:val="00E51B97"/>
    <w:rsid w:val="00E5218B"/>
    <w:rsid w:val="00E531B0"/>
    <w:rsid w:val="00E55A7E"/>
    <w:rsid w:val="00E626F6"/>
    <w:rsid w:val="00E63D28"/>
    <w:rsid w:val="00E63D74"/>
    <w:rsid w:val="00E70382"/>
    <w:rsid w:val="00E7349B"/>
    <w:rsid w:val="00E7391B"/>
    <w:rsid w:val="00E758AE"/>
    <w:rsid w:val="00E7623B"/>
    <w:rsid w:val="00E80297"/>
    <w:rsid w:val="00E807A0"/>
    <w:rsid w:val="00E8444C"/>
    <w:rsid w:val="00E85F4B"/>
    <w:rsid w:val="00E85F87"/>
    <w:rsid w:val="00E86BFC"/>
    <w:rsid w:val="00E9183D"/>
    <w:rsid w:val="00E933AB"/>
    <w:rsid w:val="00E960BF"/>
    <w:rsid w:val="00E96BBF"/>
    <w:rsid w:val="00E97ED7"/>
    <w:rsid w:val="00EA05A8"/>
    <w:rsid w:val="00EA603F"/>
    <w:rsid w:val="00EB20F8"/>
    <w:rsid w:val="00EB3EB2"/>
    <w:rsid w:val="00EB4691"/>
    <w:rsid w:val="00EB49F9"/>
    <w:rsid w:val="00EC140A"/>
    <w:rsid w:val="00ED1926"/>
    <w:rsid w:val="00ED1A40"/>
    <w:rsid w:val="00ED4240"/>
    <w:rsid w:val="00ED46BF"/>
    <w:rsid w:val="00ED4AA1"/>
    <w:rsid w:val="00ED5A2E"/>
    <w:rsid w:val="00EE0B33"/>
    <w:rsid w:val="00EE5F1D"/>
    <w:rsid w:val="00EE61F8"/>
    <w:rsid w:val="00EF2FF9"/>
    <w:rsid w:val="00EF3DA0"/>
    <w:rsid w:val="00EF53B6"/>
    <w:rsid w:val="00F01617"/>
    <w:rsid w:val="00F0168D"/>
    <w:rsid w:val="00F01D08"/>
    <w:rsid w:val="00F0207B"/>
    <w:rsid w:val="00F03238"/>
    <w:rsid w:val="00F03C15"/>
    <w:rsid w:val="00F0765C"/>
    <w:rsid w:val="00F12FFA"/>
    <w:rsid w:val="00F16379"/>
    <w:rsid w:val="00F216D8"/>
    <w:rsid w:val="00F22D51"/>
    <w:rsid w:val="00F2594B"/>
    <w:rsid w:val="00F27E66"/>
    <w:rsid w:val="00F31B0A"/>
    <w:rsid w:val="00F32120"/>
    <w:rsid w:val="00F35ECC"/>
    <w:rsid w:val="00F37212"/>
    <w:rsid w:val="00F4067B"/>
    <w:rsid w:val="00F41B21"/>
    <w:rsid w:val="00F5009D"/>
    <w:rsid w:val="00F518E7"/>
    <w:rsid w:val="00F51A5B"/>
    <w:rsid w:val="00F52F1C"/>
    <w:rsid w:val="00F54127"/>
    <w:rsid w:val="00F55598"/>
    <w:rsid w:val="00F579D3"/>
    <w:rsid w:val="00F60550"/>
    <w:rsid w:val="00F615BF"/>
    <w:rsid w:val="00F64139"/>
    <w:rsid w:val="00F64AAC"/>
    <w:rsid w:val="00F64ACE"/>
    <w:rsid w:val="00F66582"/>
    <w:rsid w:val="00F66AAC"/>
    <w:rsid w:val="00F70707"/>
    <w:rsid w:val="00F709A9"/>
    <w:rsid w:val="00F71AB1"/>
    <w:rsid w:val="00F75B8C"/>
    <w:rsid w:val="00F81BA4"/>
    <w:rsid w:val="00F83C5B"/>
    <w:rsid w:val="00F85BAC"/>
    <w:rsid w:val="00F86390"/>
    <w:rsid w:val="00F87681"/>
    <w:rsid w:val="00F87946"/>
    <w:rsid w:val="00F93A9D"/>
    <w:rsid w:val="00F956DA"/>
    <w:rsid w:val="00F97E4F"/>
    <w:rsid w:val="00FA1206"/>
    <w:rsid w:val="00FA31F3"/>
    <w:rsid w:val="00FA3A17"/>
    <w:rsid w:val="00FA454E"/>
    <w:rsid w:val="00FA61D7"/>
    <w:rsid w:val="00FB00EC"/>
    <w:rsid w:val="00FB29B0"/>
    <w:rsid w:val="00FB3999"/>
    <w:rsid w:val="00FB3FED"/>
    <w:rsid w:val="00FB72C5"/>
    <w:rsid w:val="00FB733C"/>
    <w:rsid w:val="00FC034D"/>
    <w:rsid w:val="00FC0C95"/>
    <w:rsid w:val="00FC2A50"/>
    <w:rsid w:val="00FC666A"/>
    <w:rsid w:val="00FC78FE"/>
    <w:rsid w:val="00FD0432"/>
    <w:rsid w:val="00FD5B25"/>
    <w:rsid w:val="00FD6228"/>
    <w:rsid w:val="00FD6E1E"/>
    <w:rsid w:val="00FD79E6"/>
    <w:rsid w:val="00FD7BD8"/>
    <w:rsid w:val="00FD7E75"/>
    <w:rsid w:val="00FE0EA8"/>
    <w:rsid w:val="00FE3999"/>
    <w:rsid w:val="00FE3F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EF4E4"/>
  <w15:chartTrackingRefBased/>
  <w15:docId w15:val="{6D71B9BE-2DBC-41F8-A0CB-77653F4F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54452"/>
    <w:pPr>
      <w:tabs>
        <w:tab w:val="center" w:pos="4986"/>
        <w:tab w:val="right" w:pos="9972"/>
      </w:tabs>
      <w:spacing w:after="0" w:line="240" w:lineRule="auto"/>
    </w:pPr>
  </w:style>
  <w:style w:type="character" w:customStyle="1" w:styleId="IntestazioneCarattere">
    <w:name w:val="Intestazione Carattere"/>
    <w:link w:val="Intestazione"/>
    <w:uiPriority w:val="99"/>
    <w:rsid w:val="00854452"/>
    <w:rPr>
      <w:lang w:val="it-IT"/>
    </w:rPr>
  </w:style>
  <w:style w:type="paragraph" w:styleId="Pidipagina">
    <w:name w:val="footer"/>
    <w:basedOn w:val="Normale"/>
    <w:link w:val="PidipaginaCarattere"/>
    <w:uiPriority w:val="99"/>
    <w:unhideWhenUsed/>
    <w:rsid w:val="00854452"/>
    <w:pPr>
      <w:tabs>
        <w:tab w:val="center" w:pos="4986"/>
        <w:tab w:val="right" w:pos="9972"/>
      </w:tabs>
      <w:spacing w:after="0" w:line="240" w:lineRule="auto"/>
    </w:pPr>
  </w:style>
  <w:style w:type="character" w:customStyle="1" w:styleId="PidipaginaCarattere">
    <w:name w:val="Piè di pagina Carattere"/>
    <w:link w:val="Pidipagina"/>
    <w:uiPriority w:val="99"/>
    <w:rsid w:val="00854452"/>
    <w:rPr>
      <w:lang w:val="it-IT"/>
    </w:rPr>
  </w:style>
  <w:style w:type="paragraph" w:styleId="Testofumetto">
    <w:name w:val="Balloon Text"/>
    <w:basedOn w:val="Normale"/>
    <w:link w:val="TestofumettoCarattere"/>
    <w:uiPriority w:val="99"/>
    <w:semiHidden/>
    <w:unhideWhenUsed/>
    <w:rsid w:val="008544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854452"/>
    <w:rPr>
      <w:rFonts w:ascii="Tahoma" w:hAnsi="Tahoma" w:cs="Tahoma"/>
      <w:sz w:val="16"/>
      <w:szCs w:val="16"/>
      <w:lang w:val="it-IT"/>
    </w:rPr>
  </w:style>
  <w:style w:type="character" w:styleId="Collegamentoipertestuale">
    <w:name w:val="Hyperlink"/>
    <w:uiPriority w:val="99"/>
    <w:unhideWhenUsed/>
    <w:rsid w:val="00C763A0"/>
    <w:rPr>
      <w:color w:val="0000FF"/>
      <w:u w:val="single"/>
    </w:rPr>
  </w:style>
  <w:style w:type="character" w:styleId="Collegamentovisitato">
    <w:name w:val="FollowedHyperlink"/>
    <w:uiPriority w:val="99"/>
    <w:semiHidden/>
    <w:unhideWhenUsed/>
    <w:rsid w:val="00C763A0"/>
    <w:rPr>
      <w:color w:val="800080"/>
      <w:u w:val="single"/>
    </w:rPr>
  </w:style>
  <w:style w:type="character" w:styleId="Enfasigrassetto">
    <w:name w:val="Strong"/>
    <w:uiPriority w:val="22"/>
    <w:qFormat/>
    <w:rsid w:val="001B733A"/>
    <w:rPr>
      <w:b/>
      <w:bCs/>
    </w:rPr>
  </w:style>
  <w:style w:type="paragraph" w:styleId="NormaleWeb">
    <w:name w:val="Normal (Web)"/>
    <w:basedOn w:val="Normale"/>
    <w:uiPriority w:val="99"/>
    <w:unhideWhenUsed/>
    <w:rsid w:val="006A407D"/>
    <w:pPr>
      <w:spacing w:before="100" w:beforeAutospacing="1" w:after="100" w:afterAutospacing="1"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4861C1"/>
    <w:pPr>
      <w:ind w:left="720"/>
      <w:contextualSpacing/>
    </w:pPr>
  </w:style>
  <w:style w:type="paragraph" w:customStyle="1" w:styleId="msonormal0">
    <w:name w:val="msonormal"/>
    <w:basedOn w:val="Normale"/>
    <w:uiPriority w:val="99"/>
    <w:rsid w:val="00FB72C5"/>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67">
    <w:name w:val="xl67"/>
    <w:basedOn w:val="Normale"/>
    <w:rsid w:val="00FB72C5"/>
    <w:pPr>
      <w:spacing w:before="100" w:beforeAutospacing="1" w:after="100" w:afterAutospacing="1" w:line="240" w:lineRule="auto"/>
      <w:jc w:val="center"/>
      <w:textAlignment w:val="center"/>
    </w:pPr>
    <w:rPr>
      <w:rFonts w:ascii="Tahoma" w:eastAsia="Times New Roman" w:hAnsi="Tahoma" w:cs="Tahoma"/>
      <w:sz w:val="17"/>
      <w:szCs w:val="17"/>
      <w:lang w:eastAsia="it-IT"/>
    </w:rPr>
  </w:style>
  <w:style w:type="paragraph" w:customStyle="1" w:styleId="xl68">
    <w:name w:val="xl68"/>
    <w:basedOn w:val="Normale"/>
    <w:rsid w:val="00FB72C5"/>
    <w:pPr>
      <w:spacing w:before="100" w:beforeAutospacing="1" w:after="100" w:afterAutospacing="1" w:line="240" w:lineRule="auto"/>
      <w:textAlignment w:val="center"/>
    </w:pPr>
    <w:rPr>
      <w:rFonts w:ascii="Tahoma" w:eastAsia="Times New Roman" w:hAnsi="Tahoma" w:cs="Tahoma"/>
      <w:sz w:val="17"/>
      <w:szCs w:val="17"/>
      <w:lang w:eastAsia="it-IT"/>
    </w:rPr>
  </w:style>
  <w:style w:type="paragraph" w:customStyle="1" w:styleId="xl69">
    <w:name w:val="xl69"/>
    <w:basedOn w:val="Normale"/>
    <w:rsid w:val="00FB72C5"/>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7"/>
      <w:szCs w:val="17"/>
      <w:lang w:eastAsia="it-IT"/>
    </w:rPr>
  </w:style>
  <w:style w:type="paragraph" w:customStyle="1" w:styleId="xl70">
    <w:name w:val="xl70"/>
    <w:basedOn w:val="Normale"/>
    <w:rsid w:val="00FB72C5"/>
    <w:pPr>
      <w:pBdr>
        <w:top w:val="single" w:sz="4" w:space="0" w:color="auto"/>
        <w:bottom w:val="single" w:sz="4" w:space="0" w:color="auto"/>
      </w:pBdr>
      <w:shd w:val="clear" w:color="000000" w:fill="0070C0"/>
      <w:spacing w:before="100" w:beforeAutospacing="1" w:after="100" w:afterAutospacing="1" w:line="240" w:lineRule="auto"/>
      <w:textAlignment w:val="center"/>
    </w:pPr>
    <w:rPr>
      <w:rFonts w:ascii="Tahoma" w:eastAsia="Times New Roman" w:hAnsi="Tahoma" w:cs="Tahoma"/>
      <w:b/>
      <w:bCs/>
      <w:color w:val="FFFFFF"/>
      <w:sz w:val="17"/>
      <w:szCs w:val="17"/>
      <w:lang w:eastAsia="it-IT"/>
    </w:rPr>
  </w:style>
  <w:style w:type="paragraph" w:customStyle="1" w:styleId="xl71">
    <w:name w:val="xl71"/>
    <w:basedOn w:val="Normale"/>
    <w:rsid w:val="00FB72C5"/>
    <w:pPr>
      <w:pBdr>
        <w:top w:val="single" w:sz="4" w:space="0" w:color="auto"/>
        <w:bottom w:val="single" w:sz="4" w:space="0" w:color="auto"/>
      </w:pBdr>
      <w:shd w:val="clear" w:color="000000" w:fill="0070C0"/>
      <w:spacing w:before="100" w:beforeAutospacing="1" w:after="100" w:afterAutospacing="1" w:line="240" w:lineRule="auto"/>
      <w:jc w:val="center"/>
      <w:textAlignment w:val="center"/>
    </w:pPr>
    <w:rPr>
      <w:rFonts w:ascii="Tahoma" w:eastAsia="Times New Roman" w:hAnsi="Tahoma" w:cs="Tahoma"/>
      <w:b/>
      <w:bCs/>
      <w:color w:val="FFFFFF"/>
      <w:sz w:val="17"/>
      <w:szCs w:val="17"/>
      <w:lang w:eastAsia="it-IT"/>
    </w:rPr>
  </w:style>
  <w:style w:type="paragraph" w:customStyle="1" w:styleId="xl72">
    <w:name w:val="xl72"/>
    <w:basedOn w:val="Normale"/>
    <w:rsid w:val="00FB72C5"/>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Tahoma" w:eastAsia="Times New Roman" w:hAnsi="Tahoma" w:cs="Tahoma"/>
      <w:b/>
      <w:bCs/>
      <w:color w:val="FFFFFF"/>
      <w:sz w:val="17"/>
      <w:szCs w:val="17"/>
      <w:lang w:eastAsia="it-IT"/>
    </w:rPr>
  </w:style>
  <w:style w:type="paragraph" w:customStyle="1" w:styleId="xl73">
    <w:name w:val="xl73"/>
    <w:basedOn w:val="Normale"/>
    <w:rsid w:val="00FB72C5"/>
    <w:pPr>
      <w:pBdr>
        <w:top w:val="single" w:sz="4" w:space="0" w:color="auto"/>
        <w:bottom w:val="single" w:sz="4" w:space="0" w:color="auto"/>
      </w:pBdr>
      <w:shd w:val="clear" w:color="000000" w:fill="0070C0"/>
      <w:spacing w:before="100" w:beforeAutospacing="1" w:after="100" w:afterAutospacing="1" w:line="240" w:lineRule="auto"/>
      <w:jc w:val="center"/>
      <w:textAlignment w:val="center"/>
    </w:pPr>
    <w:rPr>
      <w:rFonts w:ascii="Tahoma" w:eastAsia="Times New Roman" w:hAnsi="Tahoma" w:cs="Tahoma"/>
      <w:b/>
      <w:bCs/>
      <w:color w:val="FFFF00"/>
      <w:sz w:val="17"/>
      <w:szCs w:val="17"/>
      <w:lang w:eastAsia="it-IT"/>
    </w:rPr>
  </w:style>
  <w:style w:type="paragraph" w:customStyle="1" w:styleId="xl74">
    <w:name w:val="xl74"/>
    <w:basedOn w:val="Normale"/>
    <w:rsid w:val="00FB72C5"/>
    <w:pPr>
      <w:pBdr>
        <w:top w:val="single" w:sz="4" w:space="0" w:color="auto"/>
        <w:bottom w:val="single" w:sz="4" w:space="0" w:color="auto"/>
      </w:pBdr>
      <w:shd w:val="clear" w:color="000000" w:fill="0070C0"/>
      <w:spacing w:before="100" w:beforeAutospacing="1" w:after="100" w:afterAutospacing="1" w:line="240" w:lineRule="auto"/>
      <w:jc w:val="center"/>
      <w:textAlignment w:val="center"/>
    </w:pPr>
    <w:rPr>
      <w:rFonts w:ascii="Tahoma" w:eastAsia="Times New Roman" w:hAnsi="Tahoma" w:cs="Tahoma"/>
      <w:b/>
      <w:bCs/>
      <w:color w:val="FFFF00"/>
      <w:sz w:val="17"/>
      <w:szCs w:val="17"/>
      <w:lang w:eastAsia="it-IT"/>
    </w:rPr>
  </w:style>
  <w:style w:type="paragraph" w:customStyle="1" w:styleId="xl75">
    <w:name w:val="xl75"/>
    <w:basedOn w:val="Normale"/>
    <w:rsid w:val="00FB72C5"/>
    <w:pPr>
      <w:shd w:val="clear" w:color="000000" w:fill="FFFF00"/>
      <w:spacing w:before="100" w:beforeAutospacing="1" w:after="100" w:afterAutospacing="1" w:line="240" w:lineRule="auto"/>
      <w:jc w:val="center"/>
      <w:textAlignment w:val="center"/>
    </w:pPr>
    <w:rPr>
      <w:rFonts w:ascii="Tahoma" w:eastAsia="Times New Roman" w:hAnsi="Tahoma" w:cs="Tahoma"/>
      <w:sz w:val="17"/>
      <w:szCs w:val="17"/>
      <w:lang w:eastAsia="it-IT"/>
    </w:rPr>
  </w:style>
  <w:style w:type="paragraph" w:customStyle="1" w:styleId="xl76">
    <w:name w:val="xl76"/>
    <w:basedOn w:val="Normale"/>
    <w:rsid w:val="00FB72C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7"/>
      <w:szCs w:val="17"/>
      <w:lang w:eastAsia="it-IT"/>
    </w:rPr>
  </w:style>
  <w:style w:type="paragraph" w:customStyle="1" w:styleId="xl77">
    <w:name w:val="xl77"/>
    <w:basedOn w:val="Normale"/>
    <w:rsid w:val="00FB72C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b/>
      <w:bCs/>
      <w:sz w:val="17"/>
      <w:szCs w:val="17"/>
      <w:lang w:eastAsia="it-IT"/>
    </w:rPr>
  </w:style>
  <w:style w:type="paragraph" w:customStyle="1" w:styleId="xl78">
    <w:name w:val="xl78"/>
    <w:basedOn w:val="Normale"/>
    <w:rsid w:val="00FB72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7"/>
      <w:szCs w:val="17"/>
      <w:lang w:eastAsia="it-IT"/>
    </w:rPr>
  </w:style>
  <w:style w:type="paragraph" w:customStyle="1" w:styleId="xl79">
    <w:name w:val="xl79"/>
    <w:basedOn w:val="Normale"/>
    <w:rsid w:val="00FB72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7"/>
      <w:szCs w:val="17"/>
      <w:lang w:eastAsia="it-IT"/>
    </w:rPr>
  </w:style>
  <w:style w:type="paragraph" w:customStyle="1" w:styleId="xl80">
    <w:name w:val="xl80"/>
    <w:basedOn w:val="Normale"/>
    <w:rsid w:val="00FB72C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7"/>
      <w:szCs w:val="17"/>
      <w:lang w:eastAsia="it-IT"/>
    </w:rPr>
  </w:style>
  <w:style w:type="paragraph" w:styleId="Testonotaapidipagina">
    <w:name w:val="footnote text"/>
    <w:basedOn w:val="Normale"/>
    <w:link w:val="TestonotaapidipaginaCarattere"/>
    <w:uiPriority w:val="99"/>
    <w:semiHidden/>
    <w:unhideWhenUsed/>
    <w:rsid w:val="00AA2EDA"/>
    <w:rPr>
      <w:sz w:val="20"/>
      <w:szCs w:val="20"/>
    </w:rPr>
  </w:style>
  <w:style w:type="character" w:customStyle="1" w:styleId="TestonotaapidipaginaCarattere">
    <w:name w:val="Testo nota a piè di pagina Carattere"/>
    <w:link w:val="Testonotaapidipagina"/>
    <w:uiPriority w:val="99"/>
    <w:semiHidden/>
    <w:rsid w:val="00AA2EDA"/>
    <w:rPr>
      <w:lang w:eastAsia="en-US"/>
    </w:rPr>
  </w:style>
  <w:style w:type="character" w:styleId="Rimandonotaapidipagina">
    <w:name w:val="footnote reference"/>
    <w:uiPriority w:val="99"/>
    <w:semiHidden/>
    <w:unhideWhenUsed/>
    <w:rsid w:val="00AA2EDA"/>
    <w:rPr>
      <w:vertAlign w:val="superscript"/>
    </w:rPr>
  </w:style>
  <w:style w:type="character" w:styleId="Enfasicorsivo">
    <w:name w:val="Emphasis"/>
    <w:basedOn w:val="Carpredefinitoparagrafo"/>
    <w:uiPriority w:val="20"/>
    <w:qFormat/>
    <w:rsid w:val="00EF3DA0"/>
    <w:rPr>
      <w:i/>
      <w:iCs/>
    </w:rPr>
  </w:style>
  <w:style w:type="paragraph" w:customStyle="1" w:styleId="font-claude-response-body">
    <w:name w:val="font-claude-response-body"/>
    <w:basedOn w:val="Normale"/>
    <w:rsid w:val="00F70707"/>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inline-flex">
    <w:name w:val="inline-flex"/>
    <w:basedOn w:val="Carpredefinitoparagrafo"/>
    <w:rsid w:val="00F70707"/>
  </w:style>
  <w:style w:type="character" w:customStyle="1" w:styleId="text-nowrap">
    <w:name w:val="text-nowrap"/>
    <w:basedOn w:val="Carpredefinitoparagrafo"/>
    <w:rsid w:val="00F70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1036">
      <w:bodyDiv w:val="1"/>
      <w:marLeft w:val="0"/>
      <w:marRight w:val="0"/>
      <w:marTop w:val="0"/>
      <w:marBottom w:val="0"/>
      <w:divBdr>
        <w:top w:val="none" w:sz="0" w:space="0" w:color="auto"/>
        <w:left w:val="none" w:sz="0" w:space="0" w:color="auto"/>
        <w:bottom w:val="none" w:sz="0" w:space="0" w:color="auto"/>
        <w:right w:val="none" w:sz="0" w:space="0" w:color="auto"/>
      </w:divBdr>
    </w:div>
    <w:div w:id="6055586">
      <w:bodyDiv w:val="1"/>
      <w:marLeft w:val="0"/>
      <w:marRight w:val="0"/>
      <w:marTop w:val="0"/>
      <w:marBottom w:val="0"/>
      <w:divBdr>
        <w:top w:val="none" w:sz="0" w:space="0" w:color="auto"/>
        <w:left w:val="none" w:sz="0" w:space="0" w:color="auto"/>
        <w:bottom w:val="none" w:sz="0" w:space="0" w:color="auto"/>
        <w:right w:val="none" w:sz="0" w:space="0" w:color="auto"/>
      </w:divBdr>
    </w:div>
    <w:div w:id="15085948">
      <w:bodyDiv w:val="1"/>
      <w:marLeft w:val="0"/>
      <w:marRight w:val="0"/>
      <w:marTop w:val="0"/>
      <w:marBottom w:val="0"/>
      <w:divBdr>
        <w:top w:val="none" w:sz="0" w:space="0" w:color="auto"/>
        <w:left w:val="none" w:sz="0" w:space="0" w:color="auto"/>
        <w:bottom w:val="none" w:sz="0" w:space="0" w:color="auto"/>
        <w:right w:val="none" w:sz="0" w:space="0" w:color="auto"/>
      </w:divBdr>
    </w:div>
    <w:div w:id="56783035">
      <w:bodyDiv w:val="1"/>
      <w:marLeft w:val="0"/>
      <w:marRight w:val="0"/>
      <w:marTop w:val="0"/>
      <w:marBottom w:val="0"/>
      <w:divBdr>
        <w:top w:val="none" w:sz="0" w:space="0" w:color="auto"/>
        <w:left w:val="none" w:sz="0" w:space="0" w:color="auto"/>
        <w:bottom w:val="none" w:sz="0" w:space="0" w:color="auto"/>
        <w:right w:val="none" w:sz="0" w:space="0" w:color="auto"/>
      </w:divBdr>
    </w:div>
    <w:div w:id="64308376">
      <w:bodyDiv w:val="1"/>
      <w:marLeft w:val="0"/>
      <w:marRight w:val="0"/>
      <w:marTop w:val="0"/>
      <w:marBottom w:val="0"/>
      <w:divBdr>
        <w:top w:val="none" w:sz="0" w:space="0" w:color="auto"/>
        <w:left w:val="none" w:sz="0" w:space="0" w:color="auto"/>
        <w:bottom w:val="none" w:sz="0" w:space="0" w:color="auto"/>
        <w:right w:val="none" w:sz="0" w:space="0" w:color="auto"/>
      </w:divBdr>
    </w:div>
    <w:div w:id="64573825">
      <w:bodyDiv w:val="1"/>
      <w:marLeft w:val="0"/>
      <w:marRight w:val="0"/>
      <w:marTop w:val="0"/>
      <w:marBottom w:val="0"/>
      <w:divBdr>
        <w:top w:val="none" w:sz="0" w:space="0" w:color="auto"/>
        <w:left w:val="none" w:sz="0" w:space="0" w:color="auto"/>
        <w:bottom w:val="none" w:sz="0" w:space="0" w:color="auto"/>
        <w:right w:val="none" w:sz="0" w:space="0" w:color="auto"/>
      </w:divBdr>
    </w:div>
    <w:div w:id="64888058">
      <w:bodyDiv w:val="1"/>
      <w:marLeft w:val="0"/>
      <w:marRight w:val="0"/>
      <w:marTop w:val="0"/>
      <w:marBottom w:val="0"/>
      <w:divBdr>
        <w:top w:val="none" w:sz="0" w:space="0" w:color="auto"/>
        <w:left w:val="none" w:sz="0" w:space="0" w:color="auto"/>
        <w:bottom w:val="none" w:sz="0" w:space="0" w:color="auto"/>
        <w:right w:val="none" w:sz="0" w:space="0" w:color="auto"/>
      </w:divBdr>
    </w:div>
    <w:div w:id="68697407">
      <w:bodyDiv w:val="1"/>
      <w:marLeft w:val="0"/>
      <w:marRight w:val="0"/>
      <w:marTop w:val="0"/>
      <w:marBottom w:val="0"/>
      <w:divBdr>
        <w:top w:val="none" w:sz="0" w:space="0" w:color="auto"/>
        <w:left w:val="none" w:sz="0" w:space="0" w:color="auto"/>
        <w:bottom w:val="none" w:sz="0" w:space="0" w:color="auto"/>
        <w:right w:val="none" w:sz="0" w:space="0" w:color="auto"/>
      </w:divBdr>
    </w:div>
    <w:div w:id="86854078">
      <w:bodyDiv w:val="1"/>
      <w:marLeft w:val="0"/>
      <w:marRight w:val="0"/>
      <w:marTop w:val="0"/>
      <w:marBottom w:val="0"/>
      <w:divBdr>
        <w:top w:val="none" w:sz="0" w:space="0" w:color="auto"/>
        <w:left w:val="none" w:sz="0" w:space="0" w:color="auto"/>
        <w:bottom w:val="none" w:sz="0" w:space="0" w:color="auto"/>
        <w:right w:val="none" w:sz="0" w:space="0" w:color="auto"/>
      </w:divBdr>
    </w:div>
    <w:div w:id="109665681">
      <w:bodyDiv w:val="1"/>
      <w:marLeft w:val="0"/>
      <w:marRight w:val="0"/>
      <w:marTop w:val="0"/>
      <w:marBottom w:val="0"/>
      <w:divBdr>
        <w:top w:val="none" w:sz="0" w:space="0" w:color="auto"/>
        <w:left w:val="none" w:sz="0" w:space="0" w:color="auto"/>
        <w:bottom w:val="none" w:sz="0" w:space="0" w:color="auto"/>
        <w:right w:val="none" w:sz="0" w:space="0" w:color="auto"/>
      </w:divBdr>
    </w:div>
    <w:div w:id="110049736">
      <w:bodyDiv w:val="1"/>
      <w:marLeft w:val="0"/>
      <w:marRight w:val="0"/>
      <w:marTop w:val="0"/>
      <w:marBottom w:val="0"/>
      <w:divBdr>
        <w:top w:val="none" w:sz="0" w:space="0" w:color="auto"/>
        <w:left w:val="none" w:sz="0" w:space="0" w:color="auto"/>
        <w:bottom w:val="none" w:sz="0" w:space="0" w:color="auto"/>
        <w:right w:val="none" w:sz="0" w:space="0" w:color="auto"/>
      </w:divBdr>
    </w:div>
    <w:div w:id="141698286">
      <w:bodyDiv w:val="1"/>
      <w:marLeft w:val="0"/>
      <w:marRight w:val="0"/>
      <w:marTop w:val="0"/>
      <w:marBottom w:val="0"/>
      <w:divBdr>
        <w:top w:val="none" w:sz="0" w:space="0" w:color="auto"/>
        <w:left w:val="none" w:sz="0" w:space="0" w:color="auto"/>
        <w:bottom w:val="none" w:sz="0" w:space="0" w:color="auto"/>
        <w:right w:val="none" w:sz="0" w:space="0" w:color="auto"/>
      </w:divBdr>
    </w:div>
    <w:div w:id="154733060">
      <w:bodyDiv w:val="1"/>
      <w:marLeft w:val="0"/>
      <w:marRight w:val="0"/>
      <w:marTop w:val="0"/>
      <w:marBottom w:val="0"/>
      <w:divBdr>
        <w:top w:val="none" w:sz="0" w:space="0" w:color="auto"/>
        <w:left w:val="none" w:sz="0" w:space="0" w:color="auto"/>
        <w:bottom w:val="none" w:sz="0" w:space="0" w:color="auto"/>
        <w:right w:val="none" w:sz="0" w:space="0" w:color="auto"/>
      </w:divBdr>
    </w:div>
    <w:div w:id="226427191">
      <w:bodyDiv w:val="1"/>
      <w:marLeft w:val="0"/>
      <w:marRight w:val="0"/>
      <w:marTop w:val="0"/>
      <w:marBottom w:val="0"/>
      <w:divBdr>
        <w:top w:val="none" w:sz="0" w:space="0" w:color="auto"/>
        <w:left w:val="none" w:sz="0" w:space="0" w:color="auto"/>
        <w:bottom w:val="none" w:sz="0" w:space="0" w:color="auto"/>
        <w:right w:val="none" w:sz="0" w:space="0" w:color="auto"/>
      </w:divBdr>
    </w:div>
    <w:div w:id="239365942">
      <w:bodyDiv w:val="1"/>
      <w:marLeft w:val="0"/>
      <w:marRight w:val="0"/>
      <w:marTop w:val="0"/>
      <w:marBottom w:val="0"/>
      <w:divBdr>
        <w:top w:val="none" w:sz="0" w:space="0" w:color="auto"/>
        <w:left w:val="none" w:sz="0" w:space="0" w:color="auto"/>
        <w:bottom w:val="none" w:sz="0" w:space="0" w:color="auto"/>
        <w:right w:val="none" w:sz="0" w:space="0" w:color="auto"/>
      </w:divBdr>
    </w:div>
    <w:div w:id="240414956">
      <w:bodyDiv w:val="1"/>
      <w:marLeft w:val="0"/>
      <w:marRight w:val="0"/>
      <w:marTop w:val="0"/>
      <w:marBottom w:val="0"/>
      <w:divBdr>
        <w:top w:val="none" w:sz="0" w:space="0" w:color="auto"/>
        <w:left w:val="none" w:sz="0" w:space="0" w:color="auto"/>
        <w:bottom w:val="none" w:sz="0" w:space="0" w:color="auto"/>
        <w:right w:val="none" w:sz="0" w:space="0" w:color="auto"/>
      </w:divBdr>
    </w:div>
    <w:div w:id="241986914">
      <w:bodyDiv w:val="1"/>
      <w:marLeft w:val="0"/>
      <w:marRight w:val="0"/>
      <w:marTop w:val="0"/>
      <w:marBottom w:val="0"/>
      <w:divBdr>
        <w:top w:val="none" w:sz="0" w:space="0" w:color="auto"/>
        <w:left w:val="none" w:sz="0" w:space="0" w:color="auto"/>
        <w:bottom w:val="none" w:sz="0" w:space="0" w:color="auto"/>
        <w:right w:val="none" w:sz="0" w:space="0" w:color="auto"/>
      </w:divBdr>
    </w:div>
    <w:div w:id="294722800">
      <w:bodyDiv w:val="1"/>
      <w:marLeft w:val="0"/>
      <w:marRight w:val="0"/>
      <w:marTop w:val="0"/>
      <w:marBottom w:val="0"/>
      <w:divBdr>
        <w:top w:val="none" w:sz="0" w:space="0" w:color="auto"/>
        <w:left w:val="none" w:sz="0" w:space="0" w:color="auto"/>
        <w:bottom w:val="none" w:sz="0" w:space="0" w:color="auto"/>
        <w:right w:val="none" w:sz="0" w:space="0" w:color="auto"/>
      </w:divBdr>
    </w:div>
    <w:div w:id="308941487">
      <w:bodyDiv w:val="1"/>
      <w:marLeft w:val="0"/>
      <w:marRight w:val="0"/>
      <w:marTop w:val="0"/>
      <w:marBottom w:val="0"/>
      <w:divBdr>
        <w:top w:val="none" w:sz="0" w:space="0" w:color="auto"/>
        <w:left w:val="none" w:sz="0" w:space="0" w:color="auto"/>
        <w:bottom w:val="none" w:sz="0" w:space="0" w:color="auto"/>
        <w:right w:val="none" w:sz="0" w:space="0" w:color="auto"/>
      </w:divBdr>
    </w:div>
    <w:div w:id="346059821">
      <w:bodyDiv w:val="1"/>
      <w:marLeft w:val="0"/>
      <w:marRight w:val="0"/>
      <w:marTop w:val="0"/>
      <w:marBottom w:val="0"/>
      <w:divBdr>
        <w:top w:val="none" w:sz="0" w:space="0" w:color="auto"/>
        <w:left w:val="none" w:sz="0" w:space="0" w:color="auto"/>
        <w:bottom w:val="none" w:sz="0" w:space="0" w:color="auto"/>
        <w:right w:val="none" w:sz="0" w:space="0" w:color="auto"/>
      </w:divBdr>
    </w:div>
    <w:div w:id="364216040">
      <w:bodyDiv w:val="1"/>
      <w:marLeft w:val="0"/>
      <w:marRight w:val="0"/>
      <w:marTop w:val="0"/>
      <w:marBottom w:val="0"/>
      <w:divBdr>
        <w:top w:val="none" w:sz="0" w:space="0" w:color="auto"/>
        <w:left w:val="none" w:sz="0" w:space="0" w:color="auto"/>
        <w:bottom w:val="none" w:sz="0" w:space="0" w:color="auto"/>
        <w:right w:val="none" w:sz="0" w:space="0" w:color="auto"/>
      </w:divBdr>
    </w:div>
    <w:div w:id="391972530">
      <w:bodyDiv w:val="1"/>
      <w:marLeft w:val="0"/>
      <w:marRight w:val="0"/>
      <w:marTop w:val="0"/>
      <w:marBottom w:val="0"/>
      <w:divBdr>
        <w:top w:val="none" w:sz="0" w:space="0" w:color="auto"/>
        <w:left w:val="none" w:sz="0" w:space="0" w:color="auto"/>
        <w:bottom w:val="none" w:sz="0" w:space="0" w:color="auto"/>
        <w:right w:val="none" w:sz="0" w:space="0" w:color="auto"/>
      </w:divBdr>
    </w:div>
    <w:div w:id="392116992">
      <w:bodyDiv w:val="1"/>
      <w:marLeft w:val="0"/>
      <w:marRight w:val="0"/>
      <w:marTop w:val="0"/>
      <w:marBottom w:val="0"/>
      <w:divBdr>
        <w:top w:val="none" w:sz="0" w:space="0" w:color="auto"/>
        <w:left w:val="none" w:sz="0" w:space="0" w:color="auto"/>
        <w:bottom w:val="none" w:sz="0" w:space="0" w:color="auto"/>
        <w:right w:val="none" w:sz="0" w:space="0" w:color="auto"/>
      </w:divBdr>
    </w:div>
    <w:div w:id="451287412">
      <w:bodyDiv w:val="1"/>
      <w:marLeft w:val="0"/>
      <w:marRight w:val="0"/>
      <w:marTop w:val="0"/>
      <w:marBottom w:val="0"/>
      <w:divBdr>
        <w:top w:val="none" w:sz="0" w:space="0" w:color="auto"/>
        <w:left w:val="none" w:sz="0" w:space="0" w:color="auto"/>
        <w:bottom w:val="none" w:sz="0" w:space="0" w:color="auto"/>
        <w:right w:val="none" w:sz="0" w:space="0" w:color="auto"/>
      </w:divBdr>
    </w:div>
    <w:div w:id="502014567">
      <w:bodyDiv w:val="1"/>
      <w:marLeft w:val="0"/>
      <w:marRight w:val="0"/>
      <w:marTop w:val="0"/>
      <w:marBottom w:val="0"/>
      <w:divBdr>
        <w:top w:val="none" w:sz="0" w:space="0" w:color="auto"/>
        <w:left w:val="none" w:sz="0" w:space="0" w:color="auto"/>
        <w:bottom w:val="none" w:sz="0" w:space="0" w:color="auto"/>
        <w:right w:val="none" w:sz="0" w:space="0" w:color="auto"/>
      </w:divBdr>
    </w:div>
    <w:div w:id="529102787">
      <w:bodyDiv w:val="1"/>
      <w:marLeft w:val="0"/>
      <w:marRight w:val="0"/>
      <w:marTop w:val="0"/>
      <w:marBottom w:val="0"/>
      <w:divBdr>
        <w:top w:val="none" w:sz="0" w:space="0" w:color="auto"/>
        <w:left w:val="none" w:sz="0" w:space="0" w:color="auto"/>
        <w:bottom w:val="none" w:sz="0" w:space="0" w:color="auto"/>
        <w:right w:val="none" w:sz="0" w:space="0" w:color="auto"/>
      </w:divBdr>
    </w:div>
    <w:div w:id="529806291">
      <w:bodyDiv w:val="1"/>
      <w:marLeft w:val="0"/>
      <w:marRight w:val="0"/>
      <w:marTop w:val="0"/>
      <w:marBottom w:val="0"/>
      <w:divBdr>
        <w:top w:val="none" w:sz="0" w:space="0" w:color="auto"/>
        <w:left w:val="none" w:sz="0" w:space="0" w:color="auto"/>
        <w:bottom w:val="none" w:sz="0" w:space="0" w:color="auto"/>
        <w:right w:val="none" w:sz="0" w:space="0" w:color="auto"/>
      </w:divBdr>
    </w:div>
    <w:div w:id="565337581">
      <w:bodyDiv w:val="1"/>
      <w:marLeft w:val="0"/>
      <w:marRight w:val="0"/>
      <w:marTop w:val="0"/>
      <w:marBottom w:val="0"/>
      <w:divBdr>
        <w:top w:val="none" w:sz="0" w:space="0" w:color="auto"/>
        <w:left w:val="none" w:sz="0" w:space="0" w:color="auto"/>
        <w:bottom w:val="none" w:sz="0" w:space="0" w:color="auto"/>
        <w:right w:val="none" w:sz="0" w:space="0" w:color="auto"/>
      </w:divBdr>
    </w:div>
    <w:div w:id="573127956">
      <w:bodyDiv w:val="1"/>
      <w:marLeft w:val="0"/>
      <w:marRight w:val="0"/>
      <w:marTop w:val="0"/>
      <w:marBottom w:val="0"/>
      <w:divBdr>
        <w:top w:val="none" w:sz="0" w:space="0" w:color="auto"/>
        <w:left w:val="none" w:sz="0" w:space="0" w:color="auto"/>
        <w:bottom w:val="none" w:sz="0" w:space="0" w:color="auto"/>
        <w:right w:val="none" w:sz="0" w:space="0" w:color="auto"/>
      </w:divBdr>
    </w:div>
    <w:div w:id="581138491">
      <w:bodyDiv w:val="1"/>
      <w:marLeft w:val="0"/>
      <w:marRight w:val="0"/>
      <w:marTop w:val="0"/>
      <w:marBottom w:val="0"/>
      <w:divBdr>
        <w:top w:val="none" w:sz="0" w:space="0" w:color="auto"/>
        <w:left w:val="none" w:sz="0" w:space="0" w:color="auto"/>
        <w:bottom w:val="none" w:sz="0" w:space="0" w:color="auto"/>
        <w:right w:val="none" w:sz="0" w:space="0" w:color="auto"/>
      </w:divBdr>
    </w:div>
    <w:div w:id="592476510">
      <w:bodyDiv w:val="1"/>
      <w:marLeft w:val="0"/>
      <w:marRight w:val="0"/>
      <w:marTop w:val="0"/>
      <w:marBottom w:val="0"/>
      <w:divBdr>
        <w:top w:val="none" w:sz="0" w:space="0" w:color="auto"/>
        <w:left w:val="none" w:sz="0" w:space="0" w:color="auto"/>
        <w:bottom w:val="none" w:sz="0" w:space="0" w:color="auto"/>
        <w:right w:val="none" w:sz="0" w:space="0" w:color="auto"/>
      </w:divBdr>
    </w:div>
    <w:div w:id="596602571">
      <w:bodyDiv w:val="1"/>
      <w:marLeft w:val="0"/>
      <w:marRight w:val="0"/>
      <w:marTop w:val="0"/>
      <w:marBottom w:val="0"/>
      <w:divBdr>
        <w:top w:val="none" w:sz="0" w:space="0" w:color="auto"/>
        <w:left w:val="none" w:sz="0" w:space="0" w:color="auto"/>
        <w:bottom w:val="none" w:sz="0" w:space="0" w:color="auto"/>
        <w:right w:val="none" w:sz="0" w:space="0" w:color="auto"/>
      </w:divBdr>
    </w:div>
    <w:div w:id="599870087">
      <w:bodyDiv w:val="1"/>
      <w:marLeft w:val="0"/>
      <w:marRight w:val="0"/>
      <w:marTop w:val="0"/>
      <w:marBottom w:val="0"/>
      <w:divBdr>
        <w:top w:val="none" w:sz="0" w:space="0" w:color="auto"/>
        <w:left w:val="none" w:sz="0" w:space="0" w:color="auto"/>
        <w:bottom w:val="none" w:sz="0" w:space="0" w:color="auto"/>
        <w:right w:val="none" w:sz="0" w:space="0" w:color="auto"/>
      </w:divBdr>
    </w:div>
    <w:div w:id="629745772">
      <w:bodyDiv w:val="1"/>
      <w:marLeft w:val="0"/>
      <w:marRight w:val="0"/>
      <w:marTop w:val="0"/>
      <w:marBottom w:val="0"/>
      <w:divBdr>
        <w:top w:val="none" w:sz="0" w:space="0" w:color="auto"/>
        <w:left w:val="none" w:sz="0" w:space="0" w:color="auto"/>
        <w:bottom w:val="none" w:sz="0" w:space="0" w:color="auto"/>
        <w:right w:val="none" w:sz="0" w:space="0" w:color="auto"/>
      </w:divBdr>
    </w:div>
    <w:div w:id="631205266">
      <w:bodyDiv w:val="1"/>
      <w:marLeft w:val="0"/>
      <w:marRight w:val="0"/>
      <w:marTop w:val="0"/>
      <w:marBottom w:val="0"/>
      <w:divBdr>
        <w:top w:val="none" w:sz="0" w:space="0" w:color="auto"/>
        <w:left w:val="none" w:sz="0" w:space="0" w:color="auto"/>
        <w:bottom w:val="none" w:sz="0" w:space="0" w:color="auto"/>
        <w:right w:val="none" w:sz="0" w:space="0" w:color="auto"/>
      </w:divBdr>
    </w:div>
    <w:div w:id="631784581">
      <w:bodyDiv w:val="1"/>
      <w:marLeft w:val="0"/>
      <w:marRight w:val="0"/>
      <w:marTop w:val="0"/>
      <w:marBottom w:val="0"/>
      <w:divBdr>
        <w:top w:val="none" w:sz="0" w:space="0" w:color="auto"/>
        <w:left w:val="none" w:sz="0" w:space="0" w:color="auto"/>
        <w:bottom w:val="none" w:sz="0" w:space="0" w:color="auto"/>
        <w:right w:val="none" w:sz="0" w:space="0" w:color="auto"/>
      </w:divBdr>
    </w:div>
    <w:div w:id="639194857">
      <w:bodyDiv w:val="1"/>
      <w:marLeft w:val="0"/>
      <w:marRight w:val="0"/>
      <w:marTop w:val="0"/>
      <w:marBottom w:val="0"/>
      <w:divBdr>
        <w:top w:val="none" w:sz="0" w:space="0" w:color="auto"/>
        <w:left w:val="none" w:sz="0" w:space="0" w:color="auto"/>
        <w:bottom w:val="none" w:sz="0" w:space="0" w:color="auto"/>
        <w:right w:val="none" w:sz="0" w:space="0" w:color="auto"/>
      </w:divBdr>
    </w:div>
    <w:div w:id="680936908">
      <w:bodyDiv w:val="1"/>
      <w:marLeft w:val="0"/>
      <w:marRight w:val="0"/>
      <w:marTop w:val="0"/>
      <w:marBottom w:val="0"/>
      <w:divBdr>
        <w:top w:val="none" w:sz="0" w:space="0" w:color="auto"/>
        <w:left w:val="none" w:sz="0" w:space="0" w:color="auto"/>
        <w:bottom w:val="none" w:sz="0" w:space="0" w:color="auto"/>
        <w:right w:val="none" w:sz="0" w:space="0" w:color="auto"/>
      </w:divBdr>
    </w:div>
    <w:div w:id="696731615">
      <w:bodyDiv w:val="1"/>
      <w:marLeft w:val="0"/>
      <w:marRight w:val="0"/>
      <w:marTop w:val="0"/>
      <w:marBottom w:val="0"/>
      <w:divBdr>
        <w:top w:val="none" w:sz="0" w:space="0" w:color="auto"/>
        <w:left w:val="none" w:sz="0" w:space="0" w:color="auto"/>
        <w:bottom w:val="none" w:sz="0" w:space="0" w:color="auto"/>
        <w:right w:val="none" w:sz="0" w:space="0" w:color="auto"/>
      </w:divBdr>
    </w:div>
    <w:div w:id="734275748">
      <w:bodyDiv w:val="1"/>
      <w:marLeft w:val="0"/>
      <w:marRight w:val="0"/>
      <w:marTop w:val="0"/>
      <w:marBottom w:val="0"/>
      <w:divBdr>
        <w:top w:val="none" w:sz="0" w:space="0" w:color="auto"/>
        <w:left w:val="none" w:sz="0" w:space="0" w:color="auto"/>
        <w:bottom w:val="none" w:sz="0" w:space="0" w:color="auto"/>
        <w:right w:val="none" w:sz="0" w:space="0" w:color="auto"/>
      </w:divBdr>
    </w:div>
    <w:div w:id="747119330">
      <w:bodyDiv w:val="1"/>
      <w:marLeft w:val="0"/>
      <w:marRight w:val="0"/>
      <w:marTop w:val="0"/>
      <w:marBottom w:val="0"/>
      <w:divBdr>
        <w:top w:val="none" w:sz="0" w:space="0" w:color="auto"/>
        <w:left w:val="none" w:sz="0" w:space="0" w:color="auto"/>
        <w:bottom w:val="none" w:sz="0" w:space="0" w:color="auto"/>
        <w:right w:val="none" w:sz="0" w:space="0" w:color="auto"/>
      </w:divBdr>
    </w:div>
    <w:div w:id="748695113">
      <w:bodyDiv w:val="1"/>
      <w:marLeft w:val="0"/>
      <w:marRight w:val="0"/>
      <w:marTop w:val="0"/>
      <w:marBottom w:val="0"/>
      <w:divBdr>
        <w:top w:val="none" w:sz="0" w:space="0" w:color="auto"/>
        <w:left w:val="none" w:sz="0" w:space="0" w:color="auto"/>
        <w:bottom w:val="none" w:sz="0" w:space="0" w:color="auto"/>
        <w:right w:val="none" w:sz="0" w:space="0" w:color="auto"/>
      </w:divBdr>
    </w:div>
    <w:div w:id="753160998">
      <w:bodyDiv w:val="1"/>
      <w:marLeft w:val="0"/>
      <w:marRight w:val="0"/>
      <w:marTop w:val="0"/>
      <w:marBottom w:val="0"/>
      <w:divBdr>
        <w:top w:val="none" w:sz="0" w:space="0" w:color="auto"/>
        <w:left w:val="none" w:sz="0" w:space="0" w:color="auto"/>
        <w:bottom w:val="none" w:sz="0" w:space="0" w:color="auto"/>
        <w:right w:val="none" w:sz="0" w:space="0" w:color="auto"/>
      </w:divBdr>
    </w:div>
    <w:div w:id="763958663">
      <w:bodyDiv w:val="1"/>
      <w:marLeft w:val="0"/>
      <w:marRight w:val="0"/>
      <w:marTop w:val="0"/>
      <w:marBottom w:val="0"/>
      <w:divBdr>
        <w:top w:val="none" w:sz="0" w:space="0" w:color="auto"/>
        <w:left w:val="none" w:sz="0" w:space="0" w:color="auto"/>
        <w:bottom w:val="none" w:sz="0" w:space="0" w:color="auto"/>
        <w:right w:val="none" w:sz="0" w:space="0" w:color="auto"/>
      </w:divBdr>
    </w:div>
    <w:div w:id="777916113">
      <w:bodyDiv w:val="1"/>
      <w:marLeft w:val="0"/>
      <w:marRight w:val="0"/>
      <w:marTop w:val="0"/>
      <w:marBottom w:val="0"/>
      <w:divBdr>
        <w:top w:val="none" w:sz="0" w:space="0" w:color="auto"/>
        <w:left w:val="none" w:sz="0" w:space="0" w:color="auto"/>
        <w:bottom w:val="none" w:sz="0" w:space="0" w:color="auto"/>
        <w:right w:val="none" w:sz="0" w:space="0" w:color="auto"/>
      </w:divBdr>
    </w:div>
    <w:div w:id="816146645">
      <w:bodyDiv w:val="1"/>
      <w:marLeft w:val="0"/>
      <w:marRight w:val="0"/>
      <w:marTop w:val="0"/>
      <w:marBottom w:val="0"/>
      <w:divBdr>
        <w:top w:val="none" w:sz="0" w:space="0" w:color="auto"/>
        <w:left w:val="none" w:sz="0" w:space="0" w:color="auto"/>
        <w:bottom w:val="none" w:sz="0" w:space="0" w:color="auto"/>
        <w:right w:val="none" w:sz="0" w:space="0" w:color="auto"/>
      </w:divBdr>
    </w:div>
    <w:div w:id="831214058">
      <w:bodyDiv w:val="1"/>
      <w:marLeft w:val="0"/>
      <w:marRight w:val="0"/>
      <w:marTop w:val="0"/>
      <w:marBottom w:val="0"/>
      <w:divBdr>
        <w:top w:val="none" w:sz="0" w:space="0" w:color="auto"/>
        <w:left w:val="none" w:sz="0" w:space="0" w:color="auto"/>
        <w:bottom w:val="none" w:sz="0" w:space="0" w:color="auto"/>
        <w:right w:val="none" w:sz="0" w:space="0" w:color="auto"/>
      </w:divBdr>
    </w:div>
    <w:div w:id="835606868">
      <w:bodyDiv w:val="1"/>
      <w:marLeft w:val="0"/>
      <w:marRight w:val="0"/>
      <w:marTop w:val="0"/>
      <w:marBottom w:val="0"/>
      <w:divBdr>
        <w:top w:val="none" w:sz="0" w:space="0" w:color="auto"/>
        <w:left w:val="none" w:sz="0" w:space="0" w:color="auto"/>
        <w:bottom w:val="none" w:sz="0" w:space="0" w:color="auto"/>
        <w:right w:val="none" w:sz="0" w:space="0" w:color="auto"/>
      </w:divBdr>
    </w:div>
    <w:div w:id="854803551">
      <w:bodyDiv w:val="1"/>
      <w:marLeft w:val="0"/>
      <w:marRight w:val="0"/>
      <w:marTop w:val="0"/>
      <w:marBottom w:val="0"/>
      <w:divBdr>
        <w:top w:val="none" w:sz="0" w:space="0" w:color="auto"/>
        <w:left w:val="none" w:sz="0" w:space="0" w:color="auto"/>
        <w:bottom w:val="none" w:sz="0" w:space="0" w:color="auto"/>
        <w:right w:val="none" w:sz="0" w:space="0" w:color="auto"/>
      </w:divBdr>
    </w:div>
    <w:div w:id="863909727">
      <w:bodyDiv w:val="1"/>
      <w:marLeft w:val="0"/>
      <w:marRight w:val="0"/>
      <w:marTop w:val="0"/>
      <w:marBottom w:val="0"/>
      <w:divBdr>
        <w:top w:val="none" w:sz="0" w:space="0" w:color="auto"/>
        <w:left w:val="none" w:sz="0" w:space="0" w:color="auto"/>
        <w:bottom w:val="none" w:sz="0" w:space="0" w:color="auto"/>
        <w:right w:val="none" w:sz="0" w:space="0" w:color="auto"/>
      </w:divBdr>
    </w:div>
    <w:div w:id="865487708">
      <w:bodyDiv w:val="1"/>
      <w:marLeft w:val="0"/>
      <w:marRight w:val="0"/>
      <w:marTop w:val="0"/>
      <w:marBottom w:val="0"/>
      <w:divBdr>
        <w:top w:val="none" w:sz="0" w:space="0" w:color="auto"/>
        <w:left w:val="none" w:sz="0" w:space="0" w:color="auto"/>
        <w:bottom w:val="none" w:sz="0" w:space="0" w:color="auto"/>
        <w:right w:val="none" w:sz="0" w:space="0" w:color="auto"/>
      </w:divBdr>
    </w:div>
    <w:div w:id="871190013">
      <w:bodyDiv w:val="1"/>
      <w:marLeft w:val="0"/>
      <w:marRight w:val="0"/>
      <w:marTop w:val="0"/>
      <w:marBottom w:val="0"/>
      <w:divBdr>
        <w:top w:val="none" w:sz="0" w:space="0" w:color="auto"/>
        <w:left w:val="none" w:sz="0" w:space="0" w:color="auto"/>
        <w:bottom w:val="none" w:sz="0" w:space="0" w:color="auto"/>
        <w:right w:val="none" w:sz="0" w:space="0" w:color="auto"/>
      </w:divBdr>
    </w:div>
    <w:div w:id="873811915">
      <w:bodyDiv w:val="1"/>
      <w:marLeft w:val="0"/>
      <w:marRight w:val="0"/>
      <w:marTop w:val="0"/>
      <w:marBottom w:val="0"/>
      <w:divBdr>
        <w:top w:val="none" w:sz="0" w:space="0" w:color="auto"/>
        <w:left w:val="none" w:sz="0" w:space="0" w:color="auto"/>
        <w:bottom w:val="none" w:sz="0" w:space="0" w:color="auto"/>
        <w:right w:val="none" w:sz="0" w:space="0" w:color="auto"/>
      </w:divBdr>
    </w:div>
    <w:div w:id="875116320">
      <w:bodyDiv w:val="1"/>
      <w:marLeft w:val="0"/>
      <w:marRight w:val="0"/>
      <w:marTop w:val="0"/>
      <w:marBottom w:val="0"/>
      <w:divBdr>
        <w:top w:val="none" w:sz="0" w:space="0" w:color="auto"/>
        <w:left w:val="none" w:sz="0" w:space="0" w:color="auto"/>
        <w:bottom w:val="none" w:sz="0" w:space="0" w:color="auto"/>
        <w:right w:val="none" w:sz="0" w:space="0" w:color="auto"/>
      </w:divBdr>
    </w:div>
    <w:div w:id="878007834">
      <w:bodyDiv w:val="1"/>
      <w:marLeft w:val="0"/>
      <w:marRight w:val="0"/>
      <w:marTop w:val="0"/>
      <w:marBottom w:val="0"/>
      <w:divBdr>
        <w:top w:val="none" w:sz="0" w:space="0" w:color="auto"/>
        <w:left w:val="none" w:sz="0" w:space="0" w:color="auto"/>
        <w:bottom w:val="none" w:sz="0" w:space="0" w:color="auto"/>
        <w:right w:val="none" w:sz="0" w:space="0" w:color="auto"/>
      </w:divBdr>
    </w:div>
    <w:div w:id="891190411">
      <w:bodyDiv w:val="1"/>
      <w:marLeft w:val="0"/>
      <w:marRight w:val="0"/>
      <w:marTop w:val="0"/>
      <w:marBottom w:val="0"/>
      <w:divBdr>
        <w:top w:val="none" w:sz="0" w:space="0" w:color="auto"/>
        <w:left w:val="none" w:sz="0" w:space="0" w:color="auto"/>
        <w:bottom w:val="none" w:sz="0" w:space="0" w:color="auto"/>
        <w:right w:val="none" w:sz="0" w:space="0" w:color="auto"/>
      </w:divBdr>
    </w:div>
    <w:div w:id="897715553">
      <w:bodyDiv w:val="1"/>
      <w:marLeft w:val="0"/>
      <w:marRight w:val="0"/>
      <w:marTop w:val="0"/>
      <w:marBottom w:val="0"/>
      <w:divBdr>
        <w:top w:val="none" w:sz="0" w:space="0" w:color="auto"/>
        <w:left w:val="none" w:sz="0" w:space="0" w:color="auto"/>
        <w:bottom w:val="none" w:sz="0" w:space="0" w:color="auto"/>
        <w:right w:val="none" w:sz="0" w:space="0" w:color="auto"/>
      </w:divBdr>
    </w:div>
    <w:div w:id="906913663">
      <w:bodyDiv w:val="1"/>
      <w:marLeft w:val="0"/>
      <w:marRight w:val="0"/>
      <w:marTop w:val="0"/>
      <w:marBottom w:val="0"/>
      <w:divBdr>
        <w:top w:val="none" w:sz="0" w:space="0" w:color="auto"/>
        <w:left w:val="none" w:sz="0" w:space="0" w:color="auto"/>
        <w:bottom w:val="none" w:sz="0" w:space="0" w:color="auto"/>
        <w:right w:val="none" w:sz="0" w:space="0" w:color="auto"/>
      </w:divBdr>
    </w:div>
    <w:div w:id="925918054">
      <w:bodyDiv w:val="1"/>
      <w:marLeft w:val="0"/>
      <w:marRight w:val="0"/>
      <w:marTop w:val="0"/>
      <w:marBottom w:val="0"/>
      <w:divBdr>
        <w:top w:val="none" w:sz="0" w:space="0" w:color="auto"/>
        <w:left w:val="none" w:sz="0" w:space="0" w:color="auto"/>
        <w:bottom w:val="none" w:sz="0" w:space="0" w:color="auto"/>
        <w:right w:val="none" w:sz="0" w:space="0" w:color="auto"/>
      </w:divBdr>
    </w:div>
    <w:div w:id="931475403">
      <w:bodyDiv w:val="1"/>
      <w:marLeft w:val="0"/>
      <w:marRight w:val="0"/>
      <w:marTop w:val="0"/>
      <w:marBottom w:val="0"/>
      <w:divBdr>
        <w:top w:val="none" w:sz="0" w:space="0" w:color="auto"/>
        <w:left w:val="none" w:sz="0" w:space="0" w:color="auto"/>
        <w:bottom w:val="none" w:sz="0" w:space="0" w:color="auto"/>
        <w:right w:val="none" w:sz="0" w:space="0" w:color="auto"/>
      </w:divBdr>
    </w:div>
    <w:div w:id="941569811">
      <w:bodyDiv w:val="1"/>
      <w:marLeft w:val="0"/>
      <w:marRight w:val="0"/>
      <w:marTop w:val="0"/>
      <w:marBottom w:val="0"/>
      <w:divBdr>
        <w:top w:val="none" w:sz="0" w:space="0" w:color="auto"/>
        <w:left w:val="none" w:sz="0" w:space="0" w:color="auto"/>
        <w:bottom w:val="none" w:sz="0" w:space="0" w:color="auto"/>
        <w:right w:val="none" w:sz="0" w:space="0" w:color="auto"/>
      </w:divBdr>
    </w:div>
    <w:div w:id="958027399">
      <w:bodyDiv w:val="1"/>
      <w:marLeft w:val="0"/>
      <w:marRight w:val="0"/>
      <w:marTop w:val="0"/>
      <w:marBottom w:val="0"/>
      <w:divBdr>
        <w:top w:val="none" w:sz="0" w:space="0" w:color="auto"/>
        <w:left w:val="none" w:sz="0" w:space="0" w:color="auto"/>
        <w:bottom w:val="none" w:sz="0" w:space="0" w:color="auto"/>
        <w:right w:val="none" w:sz="0" w:space="0" w:color="auto"/>
      </w:divBdr>
    </w:div>
    <w:div w:id="959266104">
      <w:bodyDiv w:val="1"/>
      <w:marLeft w:val="0"/>
      <w:marRight w:val="0"/>
      <w:marTop w:val="0"/>
      <w:marBottom w:val="0"/>
      <w:divBdr>
        <w:top w:val="none" w:sz="0" w:space="0" w:color="auto"/>
        <w:left w:val="none" w:sz="0" w:space="0" w:color="auto"/>
        <w:bottom w:val="none" w:sz="0" w:space="0" w:color="auto"/>
        <w:right w:val="none" w:sz="0" w:space="0" w:color="auto"/>
      </w:divBdr>
    </w:div>
    <w:div w:id="960261137">
      <w:bodyDiv w:val="1"/>
      <w:marLeft w:val="0"/>
      <w:marRight w:val="0"/>
      <w:marTop w:val="0"/>
      <w:marBottom w:val="0"/>
      <w:divBdr>
        <w:top w:val="none" w:sz="0" w:space="0" w:color="auto"/>
        <w:left w:val="none" w:sz="0" w:space="0" w:color="auto"/>
        <w:bottom w:val="none" w:sz="0" w:space="0" w:color="auto"/>
        <w:right w:val="none" w:sz="0" w:space="0" w:color="auto"/>
      </w:divBdr>
    </w:div>
    <w:div w:id="960574261">
      <w:bodyDiv w:val="1"/>
      <w:marLeft w:val="0"/>
      <w:marRight w:val="0"/>
      <w:marTop w:val="0"/>
      <w:marBottom w:val="0"/>
      <w:divBdr>
        <w:top w:val="none" w:sz="0" w:space="0" w:color="auto"/>
        <w:left w:val="none" w:sz="0" w:space="0" w:color="auto"/>
        <w:bottom w:val="none" w:sz="0" w:space="0" w:color="auto"/>
        <w:right w:val="none" w:sz="0" w:space="0" w:color="auto"/>
      </w:divBdr>
    </w:div>
    <w:div w:id="998272010">
      <w:bodyDiv w:val="1"/>
      <w:marLeft w:val="0"/>
      <w:marRight w:val="0"/>
      <w:marTop w:val="0"/>
      <w:marBottom w:val="0"/>
      <w:divBdr>
        <w:top w:val="none" w:sz="0" w:space="0" w:color="auto"/>
        <w:left w:val="none" w:sz="0" w:space="0" w:color="auto"/>
        <w:bottom w:val="none" w:sz="0" w:space="0" w:color="auto"/>
        <w:right w:val="none" w:sz="0" w:space="0" w:color="auto"/>
      </w:divBdr>
    </w:div>
    <w:div w:id="998315445">
      <w:bodyDiv w:val="1"/>
      <w:marLeft w:val="0"/>
      <w:marRight w:val="0"/>
      <w:marTop w:val="0"/>
      <w:marBottom w:val="0"/>
      <w:divBdr>
        <w:top w:val="none" w:sz="0" w:space="0" w:color="auto"/>
        <w:left w:val="none" w:sz="0" w:space="0" w:color="auto"/>
        <w:bottom w:val="none" w:sz="0" w:space="0" w:color="auto"/>
        <w:right w:val="none" w:sz="0" w:space="0" w:color="auto"/>
      </w:divBdr>
    </w:div>
    <w:div w:id="998777011">
      <w:bodyDiv w:val="1"/>
      <w:marLeft w:val="0"/>
      <w:marRight w:val="0"/>
      <w:marTop w:val="0"/>
      <w:marBottom w:val="0"/>
      <w:divBdr>
        <w:top w:val="none" w:sz="0" w:space="0" w:color="auto"/>
        <w:left w:val="none" w:sz="0" w:space="0" w:color="auto"/>
        <w:bottom w:val="none" w:sz="0" w:space="0" w:color="auto"/>
        <w:right w:val="none" w:sz="0" w:space="0" w:color="auto"/>
      </w:divBdr>
    </w:div>
    <w:div w:id="1001129460">
      <w:bodyDiv w:val="1"/>
      <w:marLeft w:val="0"/>
      <w:marRight w:val="0"/>
      <w:marTop w:val="0"/>
      <w:marBottom w:val="0"/>
      <w:divBdr>
        <w:top w:val="none" w:sz="0" w:space="0" w:color="auto"/>
        <w:left w:val="none" w:sz="0" w:space="0" w:color="auto"/>
        <w:bottom w:val="none" w:sz="0" w:space="0" w:color="auto"/>
        <w:right w:val="none" w:sz="0" w:space="0" w:color="auto"/>
      </w:divBdr>
    </w:div>
    <w:div w:id="1016538804">
      <w:bodyDiv w:val="1"/>
      <w:marLeft w:val="0"/>
      <w:marRight w:val="0"/>
      <w:marTop w:val="0"/>
      <w:marBottom w:val="0"/>
      <w:divBdr>
        <w:top w:val="none" w:sz="0" w:space="0" w:color="auto"/>
        <w:left w:val="none" w:sz="0" w:space="0" w:color="auto"/>
        <w:bottom w:val="none" w:sz="0" w:space="0" w:color="auto"/>
        <w:right w:val="none" w:sz="0" w:space="0" w:color="auto"/>
      </w:divBdr>
    </w:div>
    <w:div w:id="1033773516">
      <w:bodyDiv w:val="1"/>
      <w:marLeft w:val="0"/>
      <w:marRight w:val="0"/>
      <w:marTop w:val="0"/>
      <w:marBottom w:val="0"/>
      <w:divBdr>
        <w:top w:val="none" w:sz="0" w:space="0" w:color="auto"/>
        <w:left w:val="none" w:sz="0" w:space="0" w:color="auto"/>
        <w:bottom w:val="none" w:sz="0" w:space="0" w:color="auto"/>
        <w:right w:val="none" w:sz="0" w:space="0" w:color="auto"/>
      </w:divBdr>
    </w:div>
    <w:div w:id="1055857634">
      <w:bodyDiv w:val="1"/>
      <w:marLeft w:val="0"/>
      <w:marRight w:val="0"/>
      <w:marTop w:val="0"/>
      <w:marBottom w:val="0"/>
      <w:divBdr>
        <w:top w:val="none" w:sz="0" w:space="0" w:color="auto"/>
        <w:left w:val="none" w:sz="0" w:space="0" w:color="auto"/>
        <w:bottom w:val="none" w:sz="0" w:space="0" w:color="auto"/>
        <w:right w:val="none" w:sz="0" w:space="0" w:color="auto"/>
      </w:divBdr>
    </w:div>
    <w:div w:id="1099527430">
      <w:bodyDiv w:val="1"/>
      <w:marLeft w:val="0"/>
      <w:marRight w:val="0"/>
      <w:marTop w:val="0"/>
      <w:marBottom w:val="0"/>
      <w:divBdr>
        <w:top w:val="none" w:sz="0" w:space="0" w:color="auto"/>
        <w:left w:val="none" w:sz="0" w:space="0" w:color="auto"/>
        <w:bottom w:val="none" w:sz="0" w:space="0" w:color="auto"/>
        <w:right w:val="none" w:sz="0" w:space="0" w:color="auto"/>
      </w:divBdr>
    </w:div>
    <w:div w:id="1111820695">
      <w:bodyDiv w:val="1"/>
      <w:marLeft w:val="0"/>
      <w:marRight w:val="0"/>
      <w:marTop w:val="0"/>
      <w:marBottom w:val="0"/>
      <w:divBdr>
        <w:top w:val="none" w:sz="0" w:space="0" w:color="auto"/>
        <w:left w:val="none" w:sz="0" w:space="0" w:color="auto"/>
        <w:bottom w:val="none" w:sz="0" w:space="0" w:color="auto"/>
        <w:right w:val="none" w:sz="0" w:space="0" w:color="auto"/>
      </w:divBdr>
    </w:div>
    <w:div w:id="1155729137">
      <w:bodyDiv w:val="1"/>
      <w:marLeft w:val="0"/>
      <w:marRight w:val="0"/>
      <w:marTop w:val="0"/>
      <w:marBottom w:val="0"/>
      <w:divBdr>
        <w:top w:val="none" w:sz="0" w:space="0" w:color="auto"/>
        <w:left w:val="none" w:sz="0" w:space="0" w:color="auto"/>
        <w:bottom w:val="none" w:sz="0" w:space="0" w:color="auto"/>
        <w:right w:val="none" w:sz="0" w:space="0" w:color="auto"/>
      </w:divBdr>
    </w:div>
    <w:div w:id="1178539127">
      <w:bodyDiv w:val="1"/>
      <w:marLeft w:val="0"/>
      <w:marRight w:val="0"/>
      <w:marTop w:val="0"/>
      <w:marBottom w:val="0"/>
      <w:divBdr>
        <w:top w:val="none" w:sz="0" w:space="0" w:color="auto"/>
        <w:left w:val="none" w:sz="0" w:space="0" w:color="auto"/>
        <w:bottom w:val="none" w:sz="0" w:space="0" w:color="auto"/>
        <w:right w:val="none" w:sz="0" w:space="0" w:color="auto"/>
      </w:divBdr>
    </w:div>
    <w:div w:id="1182620699">
      <w:bodyDiv w:val="1"/>
      <w:marLeft w:val="0"/>
      <w:marRight w:val="0"/>
      <w:marTop w:val="0"/>
      <w:marBottom w:val="0"/>
      <w:divBdr>
        <w:top w:val="none" w:sz="0" w:space="0" w:color="auto"/>
        <w:left w:val="none" w:sz="0" w:space="0" w:color="auto"/>
        <w:bottom w:val="none" w:sz="0" w:space="0" w:color="auto"/>
        <w:right w:val="none" w:sz="0" w:space="0" w:color="auto"/>
      </w:divBdr>
    </w:div>
    <w:div w:id="1189484778">
      <w:bodyDiv w:val="1"/>
      <w:marLeft w:val="0"/>
      <w:marRight w:val="0"/>
      <w:marTop w:val="0"/>
      <w:marBottom w:val="0"/>
      <w:divBdr>
        <w:top w:val="none" w:sz="0" w:space="0" w:color="auto"/>
        <w:left w:val="none" w:sz="0" w:space="0" w:color="auto"/>
        <w:bottom w:val="none" w:sz="0" w:space="0" w:color="auto"/>
        <w:right w:val="none" w:sz="0" w:space="0" w:color="auto"/>
      </w:divBdr>
    </w:div>
    <w:div w:id="1189947130">
      <w:bodyDiv w:val="1"/>
      <w:marLeft w:val="0"/>
      <w:marRight w:val="0"/>
      <w:marTop w:val="0"/>
      <w:marBottom w:val="0"/>
      <w:divBdr>
        <w:top w:val="none" w:sz="0" w:space="0" w:color="auto"/>
        <w:left w:val="none" w:sz="0" w:space="0" w:color="auto"/>
        <w:bottom w:val="none" w:sz="0" w:space="0" w:color="auto"/>
        <w:right w:val="none" w:sz="0" w:space="0" w:color="auto"/>
      </w:divBdr>
    </w:div>
    <w:div w:id="1198857198">
      <w:bodyDiv w:val="1"/>
      <w:marLeft w:val="0"/>
      <w:marRight w:val="0"/>
      <w:marTop w:val="0"/>
      <w:marBottom w:val="0"/>
      <w:divBdr>
        <w:top w:val="none" w:sz="0" w:space="0" w:color="auto"/>
        <w:left w:val="none" w:sz="0" w:space="0" w:color="auto"/>
        <w:bottom w:val="none" w:sz="0" w:space="0" w:color="auto"/>
        <w:right w:val="none" w:sz="0" w:space="0" w:color="auto"/>
      </w:divBdr>
    </w:div>
    <w:div w:id="1202670073">
      <w:bodyDiv w:val="1"/>
      <w:marLeft w:val="0"/>
      <w:marRight w:val="0"/>
      <w:marTop w:val="0"/>
      <w:marBottom w:val="0"/>
      <w:divBdr>
        <w:top w:val="none" w:sz="0" w:space="0" w:color="auto"/>
        <w:left w:val="none" w:sz="0" w:space="0" w:color="auto"/>
        <w:bottom w:val="none" w:sz="0" w:space="0" w:color="auto"/>
        <w:right w:val="none" w:sz="0" w:space="0" w:color="auto"/>
      </w:divBdr>
    </w:div>
    <w:div w:id="1205869244">
      <w:bodyDiv w:val="1"/>
      <w:marLeft w:val="0"/>
      <w:marRight w:val="0"/>
      <w:marTop w:val="0"/>
      <w:marBottom w:val="0"/>
      <w:divBdr>
        <w:top w:val="none" w:sz="0" w:space="0" w:color="auto"/>
        <w:left w:val="none" w:sz="0" w:space="0" w:color="auto"/>
        <w:bottom w:val="none" w:sz="0" w:space="0" w:color="auto"/>
        <w:right w:val="none" w:sz="0" w:space="0" w:color="auto"/>
      </w:divBdr>
    </w:div>
    <w:div w:id="1259411838">
      <w:bodyDiv w:val="1"/>
      <w:marLeft w:val="0"/>
      <w:marRight w:val="0"/>
      <w:marTop w:val="0"/>
      <w:marBottom w:val="0"/>
      <w:divBdr>
        <w:top w:val="none" w:sz="0" w:space="0" w:color="auto"/>
        <w:left w:val="none" w:sz="0" w:space="0" w:color="auto"/>
        <w:bottom w:val="none" w:sz="0" w:space="0" w:color="auto"/>
        <w:right w:val="none" w:sz="0" w:space="0" w:color="auto"/>
      </w:divBdr>
    </w:div>
    <w:div w:id="1280602354">
      <w:bodyDiv w:val="1"/>
      <w:marLeft w:val="0"/>
      <w:marRight w:val="0"/>
      <w:marTop w:val="0"/>
      <w:marBottom w:val="0"/>
      <w:divBdr>
        <w:top w:val="none" w:sz="0" w:space="0" w:color="auto"/>
        <w:left w:val="none" w:sz="0" w:space="0" w:color="auto"/>
        <w:bottom w:val="none" w:sz="0" w:space="0" w:color="auto"/>
        <w:right w:val="none" w:sz="0" w:space="0" w:color="auto"/>
      </w:divBdr>
    </w:div>
    <w:div w:id="1280723638">
      <w:bodyDiv w:val="1"/>
      <w:marLeft w:val="0"/>
      <w:marRight w:val="0"/>
      <w:marTop w:val="0"/>
      <w:marBottom w:val="0"/>
      <w:divBdr>
        <w:top w:val="none" w:sz="0" w:space="0" w:color="auto"/>
        <w:left w:val="none" w:sz="0" w:space="0" w:color="auto"/>
        <w:bottom w:val="none" w:sz="0" w:space="0" w:color="auto"/>
        <w:right w:val="none" w:sz="0" w:space="0" w:color="auto"/>
      </w:divBdr>
    </w:div>
    <w:div w:id="1296792351">
      <w:bodyDiv w:val="1"/>
      <w:marLeft w:val="0"/>
      <w:marRight w:val="0"/>
      <w:marTop w:val="0"/>
      <w:marBottom w:val="0"/>
      <w:divBdr>
        <w:top w:val="none" w:sz="0" w:space="0" w:color="auto"/>
        <w:left w:val="none" w:sz="0" w:space="0" w:color="auto"/>
        <w:bottom w:val="none" w:sz="0" w:space="0" w:color="auto"/>
        <w:right w:val="none" w:sz="0" w:space="0" w:color="auto"/>
      </w:divBdr>
    </w:div>
    <w:div w:id="1303195825">
      <w:bodyDiv w:val="1"/>
      <w:marLeft w:val="0"/>
      <w:marRight w:val="0"/>
      <w:marTop w:val="0"/>
      <w:marBottom w:val="0"/>
      <w:divBdr>
        <w:top w:val="none" w:sz="0" w:space="0" w:color="auto"/>
        <w:left w:val="none" w:sz="0" w:space="0" w:color="auto"/>
        <w:bottom w:val="none" w:sz="0" w:space="0" w:color="auto"/>
        <w:right w:val="none" w:sz="0" w:space="0" w:color="auto"/>
      </w:divBdr>
    </w:div>
    <w:div w:id="1318343384">
      <w:bodyDiv w:val="1"/>
      <w:marLeft w:val="0"/>
      <w:marRight w:val="0"/>
      <w:marTop w:val="0"/>
      <w:marBottom w:val="0"/>
      <w:divBdr>
        <w:top w:val="none" w:sz="0" w:space="0" w:color="auto"/>
        <w:left w:val="none" w:sz="0" w:space="0" w:color="auto"/>
        <w:bottom w:val="none" w:sz="0" w:space="0" w:color="auto"/>
        <w:right w:val="none" w:sz="0" w:space="0" w:color="auto"/>
      </w:divBdr>
    </w:div>
    <w:div w:id="1323200195">
      <w:bodyDiv w:val="1"/>
      <w:marLeft w:val="0"/>
      <w:marRight w:val="0"/>
      <w:marTop w:val="0"/>
      <w:marBottom w:val="0"/>
      <w:divBdr>
        <w:top w:val="none" w:sz="0" w:space="0" w:color="auto"/>
        <w:left w:val="none" w:sz="0" w:space="0" w:color="auto"/>
        <w:bottom w:val="none" w:sz="0" w:space="0" w:color="auto"/>
        <w:right w:val="none" w:sz="0" w:space="0" w:color="auto"/>
      </w:divBdr>
    </w:div>
    <w:div w:id="1332100192">
      <w:bodyDiv w:val="1"/>
      <w:marLeft w:val="0"/>
      <w:marRight w:val="0"/>
      <w:marTop w:val="0"/>
      <w:marBottom w:val="0"/>
      <w:divBdr>
        <w:top w:val="none" w:sz="0" w:space="0" w:color="auto"/>
        <w:left w:val="none" w:sz="0" w:space="0" w:color="auto"/>
        <w:bottom w:val="none" w:sz="0" w:space="0" w:color="auto"/>
        <w:right w:val="none" w:sz="0" w:space="0" w:color="auto"/>
      </w:divBdr>
    </w:div>
    <w:div w:id="1358387791">
      <w:bodyDiv w:val="1"/>
      <w:marLeft w:val="0"/>
      <w:marRight w:val="0"/>
      <w:marTop w:val="0"/>
      <w:marBottom w:val="0"/>
      <w:divBdr>
        <w:top w:val="none" w:sz="0" w:space="0" w:color="auto"/>
        <w:left w:val="none" w:sz="0" w:space="0" w:color="auto"/>
        <w:bottom w:val="none" w:sz="0" w:space="0" w:color="auto"/>
        <w:right w:val="none" w:sz="0" w:space="0" w:color="auto"/>
      </w:divBdr>
    </w:div>
    <w:div w:id="1374696580">
      <w:bodyDiv w:val="1"/>
      <w:marLeft w:val="0"/>
      <w:marRight w:val="0"/>
      <w:marTop w:val="0"/>
      <w:marBottom w:val="0"/>
      <w:divBdr>
        <w:top w:val="none" w:sz="0" w:space="0" w:color="auto"/>
        <w:left w:val="none" w:sz="0" w:space="0" w:color="auto"/>
        <w:bottom w:val="none" w:sz="0" w:space="0" w:color="auto"/>
        <w:right w:val="none" w:sz="0" w:space="0" w:color="auto"/>
      </w:divBdr>
    </w:div>
    <w:div w:id="1400709945">
      <w:bodyDiv w:val="1"/>
      <w:marLeft w:val="0"/>
      <w:marRight w:val="0"/>
      <w:marTop w:val="0"/>
      <w:marBottom w:val="0"/>
      <w:divBdr>
        <w:top w:val="none" w:sz="0" w:space="0" w:color="auto"/>
        <w:left w:val="none" w:sz="0" w:space="0" w:color="auto"/>
        <w:bottom w:val="none" w:sz="0" w:space="0" w:color="auto"/>
        <w:right w:val="none" w:sz="0" w:space="0" w:color="auto"/>
      </w:divBdr>
    </w:div>
    <w:div w:id="1400978700">
      <w:bodyDiv w:val="1"/>
      <w:marLeft w:val="0"/>
      <w:marRight w:val="0"/>
      <w:marTop w:val="0"/>
      <w:marBottom w:val="0"/>
      <w:divBdr>
        <w:top w:val="none" w:sz="0" w:space="0" w:color="auto"/>
        <w:left w:val="none" w:sz="0" w:space="0" w:color="auto"/>
        <w:bottom w:val="none" w:sz="0" w:space="0" w:color="auto"/>
        <w:right w:val="none" w:sz="0" w:space="0" w:color="auto"/>
      </w:divBdr>
    </w:div>
    <w:div w:id="1404450432">
      <w:bodyDiv w:val="1"/>
      <w:marLeft w:val="0"/>
      <w:marRight w:val="0"/>
      <w:marTop w:val="0"/>
      <w:marBottom w:val="0"/>
      <w:divBdr>
        <w:top w:val="none" w:sz="0" w:space="0" w:color="auto"/>
        <w:left w:val="none" w:sz="0" w:space="0" w:color="auto"/>
        <w:bottom w:val="none" w:sz="0" w:space="0" w:color="auto"/>
        <w:right w:val="none" w:sz="0" w:space="0" w:color="auto"/>
      </w:divBdr>
    </w:div>
    <w:div w:id="1433011671">
      <w:bodyDiv w:val="1"/>
      <w:marLeft w:val="0"/>
      <w:marRight w:val="0"/>
      <w:marTop w:val="0"/>
      <w:marBottom w:val="0"/>
      <w:divBdr>
        <w:top w:val="none" w:sz="0" w:space="0" w:color="auto"/>
        <w:left w:val="none" w:sz="0" w:space="0" w:color="auto"/>
        <w:bottom w:val="none" w:sz="0" w:space="0" w:color="auto"/>
        <w:right w:val="none" w:sz="0" w:space="0" w:color="auto"/>
      </w:divBdr>
    </w:div>
    <w:div w:id="1437478898">
      <w:bodyDiv w:val="1"/>
      <w:marLeft w:val="0"/>
      <w:marRight w:val="0"/>
      <w:marTop w:val="0"/>
      <w:marBottom w:val="0"/>
      <w:divBdr>
        <w:top w:val="none" w:sz="0" w:space="0" w:color="auto"/>
        <w:left w:val="none" w:sz="0" w:space="0" w:color="auto"/>
        <w:bottom w:val="none" w:sz="0" w:space="0" w:color="auto"/>
        <w:right w:val="none" w:sz="0" w:space="0" w:color="auto"/>
      </w:divBdr>
    </w:div>
    <w:div w:id="1441338493">
      <w:bodyDiv w:val="1"/>
      <w:marLeft w:val="0"/>
      <w:marRight w:val="0"/>
      <w:marTop w:val="0"/>
      <w:marBottom w:val="0"/>
      <w:divBdr>
        <w:top w:val="none" w:sz="0" w:space="0" w:color="auto"/>
        <w:left w:val="none" w:sz="0" w:space="0" w:color="auto"/>
        <w:bottom w:val="none" w:sz="0" w:space="0" w:color="auto"/>
        <w:right w:val="none" w:sz="0" w:space="0" w:color="auto"/>
      </w:divBdr>
    </w:div>
    <w:div w:id="1446078110">
      <w:bodyDiv w:val="1"/>
      <w:marLeft w:val="0"/>
      <w:marRight w:val="0"/>
      <w:marTop w:val="0"/>
      <w:marBottom w:val="0"/>
      <w:divBdr>
        <w:top w:val="none" w:sz="0" w:space="0" w:color="auto"/>
        <w:left w:val="none" w:sz="0" w:space="0" w:color="auto"/>
        <w:bottom w:val="none" w:sz="0" w:space="0" w:color="auto"/>
        <w:right w:val="none" w:sz="0" w:space="0" w:color="auto"/>
      </w:divBdr>
    </w:div>
    <w:div w:id="1446775149">
      <w:bodyDiv w:val="1"/>
      <w:marLeft w:val="0"/>
      <w:marRight w:val="0"/>
      <w:marTop w:val="0"/>
      <w:marBottom w:val="0"/>
      <w:divBdr>
        <w:top w:val="none" w:sz="0" w:space="0" w:color="auto"/>
        <w:left w:val="none" w:sz="0" w:space="0" w:color="auto"/>
        <w:bottom w:val="none" w:sz="0" w:space="0" w:color="auto"/>
        <w:right w:val="none" w:sz="0" w:space="0" w:color="auto"/>
      </w:divBdr>
    </w:div>
    <w:div w:id="1462459772">
      <w:bodyDiv w:val="1"/>
      <w:marLeft w:val="0"/>
      <w:marRight w:val="0"/>
      <w:marTop w:val="0"/>
      <w:marBottom w:val="0"/>
      <w:divBdr>
        <w:top w:val="none" w:sz="0" w:space="0" w:color="auto"/>
        <w:left w:val="none" w:sz="0" w:space="0" w:color="auto"/>
        <w:bottom w:val="none" w:sz="0" w:space="0" w:color="auto"/>
        <w:right w:val="none" w:sz="0" w:space="0" w:color="auto"/>
      </w:divBdr>
    </w:div>
    <w:div w:id="1482892962">
      <w:bodyDiv w:val="1"/>
      <w:marLeft w:val="0"/>
      <w:marRight w:val="0"/>
      <w:marTop w:val="0"/>
      <w:marBottom w:val="0"/>
      <w:divBdr>
        <w:top w:val="none" w:sz="0" w:space="0" w:color="auto"/>
        <w:left w:val="none" w:sz="0" w:space="0" w:color="auto"/>
        <w:bottom w:val="none" w:sz="0" w:space="0" w:color="auto"/>
        <w:right w:val="none" w:sz="0" w:space="0" w:color="auto"/>
      </w:divBdr>
    </w:div>
    <w:div w:id="1523056737">
      <w:bodyDiv w:val="1"/>
      <w:marLeft w:val="0"/>
      <w:marRight w:val="0"/>
      <w:marTop w:val="0"/>
      <w:marBottom w:val="0"/>
      <w:divBdr>
        <w:top w:val="none" w:sz="0" w:space="0" w:color="auto"/>
        <w:left w:val="none" w:sz="0" w:space="0" w:color="auto"/>
        <w:bottom w:val="none" w:sz="0" w:space="0" w:color="auto"/>
        <w:right w:val="none" w:sz="0" w:space="0" w:color="auto"/>
      </w:divBdr>
    </w:div>
    <w:div w:id="1534805653">
      <w:bodyDiv w:val="1"/>
      <w:marLeft w:val="0"/>
      <w:marRight w:val="0"/>
      <w:marTop w:val="0"/>
      <w:marBottom w:val="0"/>
      <w:divBdr>
        <w:top w:val="none" w:sz="0" w:space="0" w:color="auto"/>
        <w:left w:val="none" w:sz="0" w:space="0" w:color="auto"/>
        <w:bottom w:val="none" w:sz="0" w:space="0" w:color="auto"/>
        <w:right w:val="none" w:sz="0" w:space="0" w:color="auto"/>
      </w:divBdr>
    </w:div>
    <w:div w:id="1535121805">
      <w:bodyDiv w:val="1"/>
      <w:marLeft w:val="0"/>
      <w:marRight w:val="0"/>
      <w:marTop w:val="0"/>
      <w:marBottom w:val="0"/>
      <w:divBdr>
        <w:top w:val="none" w:sz="0" w:space="0" w:color="auto"/>
        <w:left w:val="none" w:sz="0" w:space="0" w:color="auto"/>
        <w:bottom w:val="none" w:sz="0" w:space="0" w:color="auto"/>
        <w:right w:val="none" w:sz="0" w:space="0" w:color="auto"/>
      </w:divBdr>
    </w:div>
    <w:div w:id="1544050117">
      <w:bodyDiv w:val="1"/>
      <w:marLeft w:val="0"/>
      <w:marRight w:val="0"/>
      <w:marTop w:val="0"/>
      <w:marBottom w:val="0"/>
      <w:divBdr>
        <w:top w:val="none" w:sz="0" w:space="0" w:color="auto"/>
        <w:left w:val="none" w:sz="0" w:space="0" w:color="auto"/>
        <w:bottom w:val="none" w:sz="0" w:space="0" w:color="auto"/>
        <w:right w:val="none" w:sz="0" w:space="0" w:color="auto"/>
      </w:divBdr>
    </w:div>
    <w:div w:id="1569653807">
      <w:bodyDiv w:val="1"/>
      <w:marLeft w:val="0"/>
      <w:marRight w:val="0"/>
      <w:marTop w:val="0"/>
      <w:marBottom w:val="0"/>
      <w:divBdr>
        <w:top w:val="none" w:sz="0" w:space="0" w:color="auto"/>
        <w:left w:val="none" w:sz="0" w:space="0" w:color="auto"/>
        <w:bottom w:val="none" w:sz="0" w:space="0" w:color="auto"/>
        <w:right w:val="none" w:sz="0" w:space="0" w:color="auto"/>
      </w:divBdr>
    </w:div>
    <w:div w:id="1574966783">
      <w:bodyDiv w:val="1"/>
      <w:marLeft w:val="0"/>
      <w:marRight w:val="0"/>
      <w:marTop w:val="0"/>
      <w:marBottom w:val="0"/>
      <w:divBdr>
        <w:top w:val="none" w:sz="0" w:space="0" w:color="auto"/>
        <w:left w:val="none" w:sz="0" w:space="0" w:color="auto"/>
        <w:bottom w:val="none" w:sz="0" w:space="0" w:color="auto"/>
        <w:right w:val="none" w:sz="0" w:space="0" w:color="auto"/>
      </w:divBdr>
    </w:div>
    <w:div w:id="1578661442">
      <w:bodyDiv w:val="1"/>
      <w:marLeft w:val="0"/>
      <w:marRight w:val="0"/>
      <w:marTop w:val="0"/>
      <w:marBottom w:val="0"/>
      <w:divBdr>
        <w:top w:val="none" w:sz="0" w:space="0" w:color="auto"/>
        <w:left w:val="none" w:sz="0" w:space="0" w:color="auto"/>
        <w:bottom w:val="none" w:sz="0" w:space="0" w:color="auto"/>
        <w:right w:val="none" w:sz="0" w:space="0" w:color="auto"/>
      </w:divBdr>
    </w:div>
    <w:div w:id="1612198887">
      <w:bodyDiv w:val="1"/>
      <w:marLeft w:val="0"/>
      <w:marRight w:val="0"/>
      <w:marTop w:val="0"/>
      <w:marBottom w:val="0"/>
      <w:divBdr>
        <w:top w:val="none" w:sz="0" w:space="0" w:color="auto"/>
        <w:left w:val="none" w:sz="0" w:space="0" w:color="auto"/>
        <w:bottom w:val="none" w:sz="0" w:space="0" w:color="auto"/>
        <w:right w:val="none" w:sz="0" w:space="0" w:color="auto"/>
      </w:divBdr>
    </w:div>
    <w:div w:id="1616592602">
      <w:bodyDiv w:val="1"/>
      <w:marLeft w:val="0"/>
      <w:marRight w:val="0"/>
      <w:marTop w:val="0"/>
      <w:marBottom w:val="0"/>
      <w:divBdr>
        <w:top w:val="none" w:sz="0" w:space="0" w:color="auto"/>
        <w:left w:val="none" w:sz="0" w:space="0" w:color="auto"/>
        <w:bottom w:val="none" w:sz="0" w:space="0" w:color="auto"/>
        <w:right w:val="none" w:sz="0" w:space="0" w:color="auto"/>
      </w:divBdr>
    </w:div>
    <w:div w:id="1619875670">
      <w:bodyDiv w:val="1"/>
      <w:marLeft w:val="0"/>
      <w:marRight w:val="0"/>
      <w:marTop w:val="0"/>
      <w:marBottom w:val="0"/>
      <w:divBdr>
        <w:top w:val="none" w:sz="0" w:space="0" w:color="auto"/>
        <w:left w:val="none" w:sz="0" w:space="0" w:color="auto"/>
        <w:bottom w:val="none" w:sz="0" w:space="0" w:color="auto"/>
        <w:right w:val="none" w:sz="0" w:space="0" w:color="auto"/>
      </w:divBdr>
    </w:div>
    <w:div w:id="1621911403">
      <w:bodyDiv w:val="1"/>
      <w:marLeft w:val="0"/>
      <w:marRight w:val="0"/>
      <w:marTop w:val="0"/>
      <w:marBottom w:val="0"/>
      <w:divBdr>
        <w:top w:val="none" w:sz="0" w:space="0" w:color="auto"/>
        <w:left w:val="none" w:sz="0" w:space="0" w:color="auto"/>
        <w:bottom w:val="none" w:sz="0" w:space="0" w:color="auto"/>
        <w:right w:val="none" w:sz="0" w:space="0" w:color="auto"/>
      </w:divBdr>
    </w:div>
    <w:div w:id="1631016060">
      <w:bodyDiv w:val="1"/>
      <w:marLeft w:val="0"/>
      <w:marRight w:val="0"/>
      <w:marTop w:val="0"/>
      <w:marBottom w:val="0"/>
      <w:divBdr>
        <w:top w:val="none" w:sz="0" w:space="0" w:color="auto"/>
        <w:left w:val="none" w:sz="0" w:space="0" w:color="auto"/>
        <w:bottom w:val="none" w:sz="0" w:space="0" w:color="auto"/>
        <w:right w:val="none" w:sz="0" w:space="0" w:color="auto"/>
      </w:divBdr>
    </w:div>
    <w:div w:id="1641227967">
      <w:bodyDiv w:val="1"/>
      <w:marLeft w:val="0"/>
      <w:marRight w:val="0"/>
      <w:marTop w:val="0"/>
      <w:marBottom w:val="0"/>
      <w:divBdr>
        <w:top w:val="none" w:sz="0" w:space="0" w:color="auto"/>
        <w:left w:val="none" w:sz="0" w:space="0" w:color="auto"/>
        <w:bottom w:val="none" w:sz="0" w:space="0" w:color="auto"/>
        <w:right w:val="none" w:sz="0" w:space="0" w:color="auto"/>
      </w:divBdr>
    </w:div>
    <w:div w:id="1642535860">
      <w:bodyDiv w:val="1"/>
      <w:marLeft w:val="0"/>
      <w:marRight w:val="0"/>
      <w:marTop w:val="0"/>
      <w:marBottom w:val="0"/>
      <w:divBdr>
        <w:top w:val="none" w:sz="0" w:space="0" w:color="auto"/>
        <w:left w:val="none" w:sz="0" w:space="0" w:color="auto"/>
        <w:bottom w:val="none" w:sz="0" w:space="0" w:color="auto"/>
        <w:right w:val="none" w:sz="0" w:space="0" w:color="auto"/>
      </w:divBdr>
    </w:div>
    <w:div w:id="1648588762">
      <w:bodyDiv w:val="1"/>
      <w:marLeft w:val="0"/>
      <w:marRight w:val="0"/>
      <w:marTop w:val="0"/>
      <w:marBottom w:val="0"/>
      <w:divBdr>
        <w:top w:val="none" w:sz="0" w:space="0" w:color="auto"/>
        <w:left w:val="none" w:sz="0" w:space="0" w:color="auto"/>
        <w:bottom w:val="none" w:sz="0" w:space="0" w:color="auto"/>
        <w:right w:val="none" w:sz="0" w:space="0" w:color="auto"/>
      </w:divBdr>
    </w:div>
    <w:div w:id="1650019518">
      <w:bodyDiv w:val="1"/>
      <w:marLeft w:val="0"/>
      <w:marRight w:val="0"/>
      <w:marTop w:val="0"/>
      <w:marBottom w:val="0"/>
      <w:divBdr>
        <w:top w:val="none" w:sz="0" w:space="0" w:color="auto"/>
        <w:left w:val="none" w:sz="0" w:space="0" w:color="auto"/>
        <w:bottom w:val="none" w:sz="0" w:space="0" w:color="auto"/>
        <w:right w:val="none" w:sz="0" w:space="0" w:color="auto"/>
      </w:divBdr>
    </w:div>
    <w:div w:id="1660036307">
      <w:bodyDiv w:val="1"/>
      <w:marLeft w:val="0"/>
      <w:marRight w:val="0"/>
      <w:marTop w:val="0"/>
      <w:marBottom w:val="0"/>
      <w:divBdr>
        <w:top w:val="none" w:sz="0" w:space="0" w:color="auto"/>
        <w:left w:val="none" w:sz="0" w:space="0" w:color="auto"/>
        <w:bottom w:val="none" w:sz="0" w:space="0" w:color="auto"/>
        <w:right w:val="none" w:sz="0" w:space="0" w:color="auto"/>
      </w:divBdr>
    </w:div>
    <w:div w:id="1665745825">
      <w:bodyDiv w:val="1"/>
      <w:marLeft w:val="0"/>
      <w:marRight w:val="0"/>
      <w:marTop w:val="0"/>
      <w:marBottom w:val="0"/>
      <w:divBdr>
        <w:top w:val="none" w:sz="0" w:space="0" w:color="auto"/>
        <w:left w:val="none" w:sz="0" w:space="0" w:color="auto"/>
        <w:bottom w:val="none" w:sz="0" w:space="0" w:color="auto"/>
        <w:right w:val="none" w:sz="0" w:space="0" w:color="auto"/>
      </w:divBdr>
    </w:div>
    <w:div w:id="1743407830">
      <w:bodyDiv w:val="1"/>
      <w:marLeft w:val="0"/>
      <w:marRight w:val="0"/>
      <w:marTop w:val="0"/>
      <w:marBottom w:val="0"/>
      <w:divBdr>
        <w:top w:val="none" w:sz="0" w:space="0" w:color="auto"/>
        <w:left w:val="none" w:sz="0" w:space="0" w:color="auto"/>
        <w:bottom w:val="none" w:sz="0" w:space="0" w:color="auto"/>
        <w:right w:val="none" w:sz="0" w:space="0" w:color="auto"/>
      </w:divBdr>
    </w:div>
    <w:div w:id="1746798384">
      <w:bodyDiv w:val="1"/>
      <w:marLeft w:val="0"/>
      <w:marRight w:val="0"/>
      <w:marTop w:val="0"/>
      <w:marBottom w:val="0"/>
      <w:divBdr>
        <w:top w:val="none" w:sz="0" w:space="0" w:color="auto"/>
        <w:left w:val="none" w:sz="0" w:space="0" w:color="auto"/>
        <w:bottom w:val="none" w:sz="0" w:space="0" w:color="auto"/>
        <w:right w:val="none" w:sz="0" w:space="0" w:color="auto"/>
      </w:divBdr>
    </w:div>
    <w:div w:id="1746881583">
      <w:bodyDiv w:val="1"/>
      <w:marLeft w:val="0"/>
      <w:marRight w:val="0"/>
      <w:marTop w:val="0"/>
      <w:marBottom w:val="0"/>
      <w:divBdr>
        <w:top w:val="none" w:sz="0" w:space="0" w:color="auto"/>
        <w:left w:val="none" w:sz="0" w:space="0" w:color="auto"/>
        <w:bottom w:val="none" w:sz="0" w:space="0" w:color="auto"/>
        <w:right w:val="none" w:sz="0" w:space="0" w:color="auto"/>
      </w:divBdr>
    </w:div>
    <w:div w:id="1771855030">
      <w:bodyDiv w:val="1"/>
      <w:marLeft w:val="0"/>
      <w:marRight w:val="0"/>
      <w:marTop w:val="0"/>
      <w:marBottom w:val="0"/>
      <w:divBdr>
        <w:top w:val="none" w:sz="0" w:space="0" w:color="auto"/>
        <w:left w:val="none" w:sz="0" w:space="0" w:color="auto"/>
        <w:bottom w:val="none" w:sz="0" w:space="0" w:color="auto"/>
        <w:right w:val="none" w:sz="0" w:space="0" w:color="auto"/>
      </w:divBdr>
    </w:div>
    <w:div w:id="1781683246">
      <w:bodyDiv w:val="1"/>
      <w:marLeft w:val="0"/>
      <w:marRight w:val="0"/>
      <w:marTop w:val="0"/>
      <w:marBottom w:val="0"/>
      <w:divBdr>
        <w:top w:val="none" w:sz="0" w:space="0" w:color="auto"/>
        <w:left w:val="none" w:sz="0" w:space="0" w:color="auto"/>
        <w:bottom w:val="none" w:sz="0" w:space="0" w:color="auto"/>
        <w:right w:val="none" w:sz="0" w:space="0" w:color="auto"/>
      </w:divBdr>
    </w:div>
    <w:div w:id="1784576225">
      <w:bodyDiv w:val="1"/>
      <w:marLeft w:val="0"/>
      <w:marRight w:val="0"/>
      <w:marTop w:val="0"/>
      <w:marBottom w:val="0"/>
      <w:divBdr>
        <w:top w:val="none" w:sz="0" w:space="0" w:color="auto"/>
        <w:left w:val="none" w:sz="0" w:space="0" w:color="auto"/>
        <w:bottom w:val="none" w:sz="0" w:space="0" w:color="auto"/>
        <w:right w:val="none" w:sz="0" w:space="0" w:color="auto"/>
      </w:divBdr>
    </w:div>
    <w:div w:id="1798602063">
      <w:bodyDiv w:val="1"/>
      <w:marLeft w:val="0"/>
      <w:marRight w:val="0"/>
      <w:marTop w:val="0"/>
      <w:marBottom w:val="0"/>
      <w:divBdr>
        <w:top w:val="none" w:sz="0" w:space="0" w:color="auto"/>
        <w:left w:val="none" w:sz="0" w:space="0" w:color="auto"/>
        <w:bottom w:val="none" w:sz="0" w:space="0" w:color="auto"/>
        <w:right w:val="none" w:sz="0" w:space="0" w:color="auto"/>
      </w:divBdr>
    </w:div>
    <w:div w:id="1826429328">
      <w:bodyDiv w:val="1"/>
      <w:marLeft w:val="0"/>
      <w:marRight w:val="0"/>
      <w:marTop w:val="0"/>
      <w:marBottom w:val="0"/>
      <w:divBdr>
        <w:top w:val="none" w:sz="0" w:space="0" w:color="auto"/>
        <w:left w:val="none" w:sz="0" w:space="0" w:color="auto"/>
        <w:bottom w:val="none" w:sz="0" w:space="0" w:color="auto"/>
        <w:right w:val="none" w:sz="0" w:space="0" w:color="auto"/>
      </w:divBdr>
    </w:div>
    <w:div w:id="1838181932">
      <w:bodyDiv w:val="1"/>
      <w:marLeft w:val="0"/>
      <w:marRight w:val="0"/>
      <w:marTop w:val="0"/>
      <w:marBottom w:val="0"/>
      <w:divBdr>
        <w:top w:val="none" w:sz="0" w:space="0" w:color="auto"/>
        <w:left w:val="none" w:sz="0" w:space="0" w:color="auto"/>
        <w:bottom w:val="none" w:sz="0" w:space="0" w:color="auto"/>
        <w:right w:val="none" w:sz="0" w:space="0" w:color="auto"/>
      </w:divBdr>
    </w:div>
    <w:div w:id="1867861332">
      <w:bodyDiv w:val="1"/>
      <w:marLeft w:val="0"/>
      <w:marRight w:val="0"/>
      <w:marTop w:val="0"/>
      <w:marBottom w:val="0"/>
      <w:divBdr>
        <w:top w:val="none" w:sz="0" w:space="0" w:color="auto"/>
        <w:left w:val="none" w:sz="0" w:space="0" w:color="auto"/>
        <w:bottom w:val="none" w:sz="0" w:space="0" w:color="auto"/>
        <w:right w:val="none" w:sz="0" w:space="0" w:color="auto"/>
      </w:divBdr>
    </w:div>
    <w:div w:id="1879002972">
      <w:bodyDiv w:val="1"/>
      <w:marLeft w:val="0"/>
      <w:marRight w:val="0"/>
      <w:marTop w:val="0"/>
      <w:marBottom w:val="0"/>
      <w:divBdr>
        <w:top w:val="none" w:sz="0" w:space="0" w:color="auto"/>
        <w:left w:val="none" w:sz="0" w:space="0" w:color="auto"/>
        <w:bottom w:val="none" w:sz="0" w:space="0" w:color="auto"/>
        <w:right w:val="none" w:sz="0" w:space="0" w:color="auto"/>
      </w:divBdr>
    </w:div>
    <w:div w:id="1901793087">
      <w:bodyDiv w:val="1"/>
      <w:marLeft w:val="0"/>
      <w:marRight w:val="0"/>
      <w:marTop w:val="0"/>
      <w:marBottom w:val="0"/>
      <w:divBdr>
        <w:top w:val="none" w:sz="0" w:space="0" w:color="auto"/>
        <w:left w:val="none" w:sz="0" w:space="0" w:color="auto"/>
        <w:bottom w:val="none" w:sz="0" w:space="0" w:color="auto"/>
        <w:right w:val="none" w:sz="0" w:space="0" w:color="auto"/>
      </w:divBdr>
    </w:div>
    <w:div w:id="1918662098">
      <w:bodyDiv w:val="1"/>
      <w:marLeft w:val="0"/>
      <w:marRight w:val="0"/>
      <w:marTop w:val="0"/>
      <w:marBottom w:val="0"/>
      <w:divBdr>
        <w:top w:val="none" w:sz="0" w:space="0" w:color="auto"/>
        <w:left w:val="none" w:sz="0" w:space="0" w:color="auto"/>
        <w:bottom w:val="none" w:sz="0" w:space="0" w:color="auto"/>
        <w:right w:val="none" w:sz="0" w:space="0" w:color="auto"/>
      </w:divBdr>
    </w:div>
    <w:div w:id="1920863198">
      <w:bodyDiv w:val="1"/>
      <w:marLeft w:val="0"/>
      <w:marRight w:val="0"/>
      <w:marTop w:val="0"/>
      <w:marBottom w:val="0"/>
      <w:divBdr>
        <w:top w:val="none" w:sz="0" w:space="0" w:color="auto"/>
        <w:left w:val="none" w:sz="0" w:space="0" w:color="auto"/>
        <w:bottom w:val="none" w:sz="0" w:space="0" w:color="auto"/>
        <w:right w:val="none" w:sz="0" w:space="0" w:color="auto"/>
      </w:divBdr>
    </w:div>
    <w:div w:id="1924139599">
      <w:bodyDiv w:val="1"/>
      <w:marLeft w:val="0"/>
      <w:marRight w:val="0"/>
      <w:marTop w:val="0"/>
      <w:marBottom w:val="0"/>
      <w:divBdr>
        <w:top w:val="none" w:sz="0" w:space="0" w:color="auto"/>
        <w:left w:val="none" w:sz="0" w:space="0" w:color="auto"/>
        <w:bottom w:val="none" w:sz="0" w:space="0" w:color="auto"/>
        <w:right w:val="none" w:sz="0" w:space="0" w:color="auto"/>
      </w:divBdr>
    </w:div>
    <w:div w:id="1933540284">
      <w:bodyDiv w:val="1"/>
      <w:marLeft w:val="0"/>
      <w:marRight w:val="0"/>
      <w:marTop w:val="0"/>
      <w:marBottom w:val="0"/>
      <w:divBdr>
        <w:top w:val="none" w:sz="0" w:space="0" w:color="auto"/>
        <w:left w:val="none" w:sz="0" w:space="0" w:color="auto"/>
        <w:bottom w:val="none" w:sz="0" w:space="0" w:color="auto"/>
        <w:right w:val="none" w:sz="0" w:space="0" w:color="auto"/>
      </w:divBdr>
    </w:div>
    <w:div w:id="1933927850">
      <w:bodyDiv w:val="1"/>
      <w:marLeft w:val="0"/>
      <w:marRight w:val="0"/>
      <w:marTop w:val="0"/>
      <w:marBottom w:val="0"/>
      <w:divBdr>
        <w:top w:val="none" w:sz="0" w:space="0" w:color="auto"/>
        <w:left w:val="none" w:sz="0" w:space="0" w:color="auto"/>
        <w:bottom w:val="none" w:sz="0" w:space="0" w:color="auto"/>
        <w:right w:val="none" w:sz="0" w:space="0" w:color="auto"/>
      </w:divBdr>
    </w:div>
    <w:div w:id="1945191879">
      <w:bodyDiv w:val="1"/>
      <w:marLeft w:val="0"/>
      <w:marRight w:val="0"/>
      <w:marTop w:val="0"/>
      <w:marBottom w:val="0"/>
      <w:divBdr>
        <w:top w:val="none" w:sz="0" w:space="0" w:color="auto"/>
        <w:left w:val="none" w:sz="0" w:space="0" w:color="auto"/>
        <w:bottom w:val="none" w:sz="0" w:space="0" w:color="auto"/>
        <w:right w:val="none" w:sz="0" w:space="0" w:color="auto"/>
      </w:divBdr>
    </w:div>
    <w:div w:id="1975795660">
      <w:bodyDiv w:val="1"/>
      <w:marLeft w:val="0"/>
      <w:marRight w:val="0"/>
      <w:marTop w:val="0"/>
      <w:marBottom w:val="0"/>
      <w:divBdr>
        <w:top w:val="none" w:sz="0" w:space="0" w:color="auto"/>
        <w:left w:val="none" w:sz="0" w:space="0" w:color="auto"/>
        <w:bottom w:val="none" w:sz="0" w:space="0" w:color="auto"/>
        <w:right w:val="none" w:sz="0" w:space="0" w:color="auto"/>
      </w:divBdr>
    </w:div>
    <w:div w:id="1983920891">
      <w:bodyDiv w:val="1"/>
      <w:marLeft w:val="0"/>
      <w:marRight w:val="0"/>
      <w:marTop w:val="0"/>
      <w:marBottom w:val="0"/>
      <w:divBdr>
        <w:top w:val="none" w:sz="0" w:space="0" w:color="auto"/>
        <w:left w:val="none" w:sz="0" w:space="0" w:color="auto"/>
        <w:bottom w:val="none" w:sz="0" w:space="0" w:color="auto"/>
        <w:right w:val="none" w:sz="0" w:space="0" w:color="auto"/>
      </w:divBdr>
    </w:div>
    <w:div w:id="2010985957">
      <w:bodyDiv w:val="1"/>
      <w:marLeft w:val="0"/>
      <w:marRight w:val="0"/>
      <w:marTop w:val="0"/>
      <w:marBottom w:val="0"/>
      <w:divBdr>
        <w:top w:val="none" w:sz="0" w:space="0" w:color="auto"/>
        <w:left w:val="none" w:sz="0" w:space="0" w:color="auto"/>
        <w:bottom w:val="none" w:sz="0" w:space="0" w:color="auto"/>
        <w:right w:val="none" w:sz="0" w:space="0" w:color="auto"/>
      </w:divBdr>
    </w:div>
    <w:div w:id="2057122551">
      <w:bodyDiv w:val="1"/>
      <w:marLeft w:val="0"/>
      <w:marRight w:val="0"/>
      <w:marTop w:val="0"/>
      <w:marBottom w:val="0"/>
      <w:divBdr>
        <w:top w:val="none" w:sz="0" w:space="0" w:color="auto"/>
        <w:left w:val="none" w:sz="0" w:space="0" w:color="auto"/>
        <w:bottom w:val="none" w:sz="0" w:space="0" w:color="auto"/>
        <w:right w:val="none" w:sz="0" w:space="0" w:color="auto"/>
      </w:divBdr>
    </w:div>
    <w:div w:id="2058818765">
      <w:bodyDiv w:val="1"/>
      <w:marLeft w:val="0"/>
      <w:marRight w:val="0"/>
      <w:marTop w:val="0"/>
      <w:marBottom w:val="0"/>
      <w:divBdr>
        <w:top w:val="none" w:sz="0" w:space="0" w:color="auto"/>
        <w:left w:val="none" w:sz="0" w:space="0" w:color="auto"/>
        <w:bottom w:val="none" w:sz="0" w:space="0" w:color="auto"/>
        <w:right w:val="none" w:sz="0" w:space="0" w:color="auto"/>
      </w:divBdr>
    </w:div>
    <w:div w:id="2059740822">
      <w:bodyDiv w:val="1"/>
      <w:marLeft w:val="0"/>
      <w:marRight w:val="0"/>
      <w:marTop w:val="0"/>
      <w:marBottom w:val="0"/>
      <w:divBdr>
        <w:top w:val="none" w:sz="0" w:space="0" w:color="auto"/>
        <w:left w:val="none" w:sz="0" w:space="0" w:color="auto"/>
        <w:bottom w:val="none" w:sz="0" w:space="0" w:color="auto"/>
        <w:right w:val="none" w:sz="0" w:space="0" w:color="auto"/>
      </w:divBdr>
    </w:div>
    <w:div w:id="2077167286">
      <w:bodyDiv w:val="1"/>
      <w:marLeft w:val="0"/>
      <w:marRight w:val="0"/>
      <w:marTop w:val="0"/>
      <w:marBottom w:val="0"/>
      <w:divBdr>
        <w:top w:val="none" w:sz="0" w:space="0" w:color="auto"/>
        <w:left w:val="none" w:sz="0" w:space="0" w:color="auto"/>
        <w:bottom w:val="none" w:sz="0" w:space="0" w:color="auto"/>
        <w:right w:val="none" w:sz="0" w:space="0" w:color="auto"/>
      </w:divBdr>
    </w:div>
    <w:div w:id="2080399349">
      <w:bodyDiv w:val="1"/>
      <w:marLeft w:val="0"/>
      <w:marRight w:val="0"/>
      <w:marTop w:val="0"/>
      <w:marBottom w:val="0"/>
      <w:divBdr>
        <w:top w:val="none" w:sz="0" w:space="0" w:color="auto"/>
        <w:left w:val="none" w:sz="0" w:space="0" w:color="auto"/>
        <w:bottom w:val="none" w:sz="0" w:space="0" w:color="auto"/>
        <w:right w:val="none" w:sz="0" w:space="0" w:color="auto"/>
      </w:divBdr>
    </w:div>
    <w:div w:id="2080592792">
      <w:bodyDiv w:val="1"/>
      <w:marLeft w:val="0"/>
      <w:marRight w:val="0"/>
      <w:marTop w:val="0"/>
      <w:marBottom w:val="0"/>
      <w:divBdr>
        <w:top w:val="none" w:sz="0" w:space="0" w:color="auto"/>
        <w:left w:val="none" w:sz="0" w:space="0" w:color="auto"/>
        <w:bottom w:val="none" w:sz="0" w:space="0" w:color="auto"/>
        <w:right w:val="none" w:sz="0" w:space="0" w:color="auto"/>
      </w:divBdr>
    </w:div>
    <w:div w:id="2122454560">
      <w:bodyDiv w:val="1"/>
      <w:marLeft w:val="0"/>
      <w:marRight w:val="0"/>
      <w:marTop w:val="0"/>
      <w:marBottom w:val="0"/>
      <w:divBdr>
        <w:top w:val="none" w:sz="0" w:space="0" w:color="auto"/>
        <w:left w:val="none" w:sz="0" w:space="0" w:color="auto"/>
        <w:bottom w:val="none" w:sz="0" w:space="0" w:color="auto"/>
        <w:right w:val="none" w:sz="0" w:space="0" w:color="auto"/>
      </w:divBdr>
    </w:div>
    <w:div w:id="2126195971">
      <w:bodyDiv w:val="1"/>
      <w:marLeft w:val="0"/>
      <w:marRight w:val="0"/>
      <w:marTop w:val="0"/>
      <w:marBottom w:val="0"/>
      <w:divBdr>
        <w:top w:val="none" w:sz="0" w:space="0" w:color="auto"/>
        <w:left w:val="none" w:sz="0" w:space="0" w:color="auto"/>
        <w:bottom w:val="none" w:sz="0" w:space="0" w:color="auto"/>
        <w:right w:val="none" w:sz="0" w:space="0" w:color="auto"/>
      </w:divBdr>
    </w:div>
    <w:div w:id="2128503501">
      <w:bodyDiv w:val="1"/>
      <w:marLeft w:val="0"/>
      <w:marRight w:val="0"/>
      <w:marTop w:val="0"/>
      <w:marBottom w:val="0"/>
      <w:divBdr>
        <w:top w:val="none" w:sz="0" w:space="0" w:color="auto"/>
        <w:left w:val="none" w:sz="0" w:space="0" w:color="auto"/>
        <w:bottom w:val="none" w:sz="0" w:space="0" w:color="auto"/>
        <w:right w:val="none" w:sz="0" w:space="0" w:color="auto"/>
      </w:divBdr>
    </w:div>
    <w:div w:id="2134326891">
      <w:bodyDiv w:val="1"/>
      <w:marLeft w:val="0"/>
      <w:marRight w:val="0"/>
      <w:marTop w:val="0"/>
      <w:marBottom w:val="0"/>
      <w:divBdr>
        <w:top w:val="none" w:sz="0" w:space="0" w:color="auto"/>
        <w:left w:val="none" w:sz="0" w:space="0" w:color="auto"/>
        <w:bottom w:val="none" w:sz="0" w:space="0" w:color="auto"/>
        <w:right w:val="none" w:sz="0" w:space="0" w:color="auto"/>
      </w:divBdr>
    </w:div>
    <w:div w:id="214076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44BA7-8223-4955-B81A-F1050DC45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2227</Words>
  <Characters>12700</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DNicolai</dc:creator>
  <cp:keywords/>
  <cp:lastModifiedBy>Paolo Zabeo</cp:lastModifiedBy>
  <cp:revision>28</cp:revision>
  <cp:lastPrinted>2025-12-30T10:07:00Z</cp:lastPrinted>
  <dcterms:created xsi:type="dcterms:W3CDTF">2026-07-23T16:43:00Z</dcterms:created>
  <dcterms:modified xsi:type="dcterms:W3CDTF">2026-07-24T08:23:00Z</dcterms:modified>
</cp:coreProperties>
</file>